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  <w:bookmarkStart w:id="1" w:name="_GoBack"/>
      <w:bookmarkEnd w:id="1"/>
    </w:p>
    <w:bookmarkEnd w:id="0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4FA00979" w:rsidR="00334C9E" w:rsidRDefault="00CC1488" w:rsidP="00CC1488">
      <w:pPr>
        <w:tabs>
          <w:tab w:val="left" w:pos="14400"/>
        </w:tabs>
        <w:spacing w:after="12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0CD52694" w:rsidR="00AD4FD2" w:rsidRPr="00A42D69" w:rsidRDefault="00B17EA3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C24B2C">
              <w:fldChar w:fldCharType="begin"/>
            </w:r>
            <w:r w:rsidR="00C24B2C">
              <w:instrText xml:space="preserve"> NOTEREF _Ref496436595 \h  \* MERGEFORMAT </w:instrText>
            </w:r>
            <w:r w:rsidR="00C24B2C">
              <w:fldChar w:fldCharType="separate"/>
            </w:r>
            <w:r w:rsidRPr="00C63419">
              <w:t>2</w:t>
            </w:r>
            <w:r w:rsidR="00C24B2C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71AA0B80" w:rsidR="00AD4FD2" w:rsidRPr="00A42D69" w:rsidRDefault="00B17EA3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04B13485" w14:textId="77777777" w:rsidTr="002915D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2915DF">
            <w:pPr>
              <w:widowControl w:val="0"/>
              <w:ind w:left="143" w:right="136" w:hanging="3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2915D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2915DF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2915DF">
        <w:trPr>
          <w:trHeight w:val="85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4138EA7C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</w:t>
            </w:r>
            <w:r w:rsidR="00F204A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</w:t>
            </w: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. súlad s:</w:t>
            </w:r>
          </w:p>
          <w:p w14:paraId="3F146103" w14:textId="77777777" w:rsidR="00976721" w:rsidRPr="00976721" w:rsidRDefault="00976721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1D018705" w:rsidR="00976721" w:rsidRPr="002915DF" w:rsidRDefault="00C07F8B" w:rsidP="00F204AB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</w:pPr>
            <w:r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>o</w:t>
            </w:r>
            <w:r w:rsidR="00976721"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>čakávanými</w:t>
            </w:r>
            <w:r w:rsidR="00157279"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 xml:space="preserve"> </w:t>
            </w:r>
            <w:r w:rsidR="00976721"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>výsledkami,</w:t>
            </w:r>
          </w:p>
          <w:p w14:paraId="584C53C1" w14:textId="77777777" w:rsidR="00976721" w:rsidRPr="00976721" w:rsidRDefault="00976721" w:rsidP="0092661C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34" w:hanging="283"/>
              <w:jc w:val="both"/>
              <w:rPr>
                <w:rFonts w:eastAsia="Times New Roman" w:cs="Arial"/>
                <w:bCs/>
                <w:color w:val="000000" w:themeColor="text1"/>
              </w:rPr>
            </w:pPr>
            <w:r w:rsidRPr="002915DF">
              <w:rPr>
                <w:rFonts w:asciiTheme="minorHAnsi" w:eastAsia="Times New Roman" w:hAnsiTheme="minorHAnsi" w:cs="Arial"/>
                <w:bCs/>
                <w:lang w:val="sk-SK" w:eastAsia="sk-SK" w:bidi="ar-SA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6D58EF85" w:rsidR="00976721" w:rsidRPr="00976721" w:rsidRDefault="00976721" w:rsidP="001C0D5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2915DF">
        <w:trPr>
          <w:trHeight w:val="84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2915DF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1EF8A548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2915DF">
        <w:trPr>
          <w:trHeight w:val="83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3D9A39F5" w:rsidR="00976721" w:rsidRPr="00976721" w:rsidRDefault="00976721" w:rsidP="001C0D5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2915DF">
        <w:trPr>
          <w:trHeight w:val="85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2915DF">
        <w:trPr>
          <w:trHeight w:val="79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4FDB95" w14:textId="77777777" w:rsidR="00F204AB" w:rsidRDefault="00F204AB" w:rsidP="002915DF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1EC65029" w14:textId="6316BCA4" w:rsidR="00976721" w:rsidRPr="00976721" w:rsidRDefault="00976721" w:rsidP="002915DF">
            <w:pPr>
              <w:spacing w:line="256" w:lineRule="auto"/>
              <w:contextualSpacing/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1C0D5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2915DF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2263A" w:rsidRPr="00334C9E" w14:paraId="6CD322AB" w14:textId="77777777" w:rsidTr="002915DF">
        <w:trPr>
          <w:trHeight w:val="222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035682E2" w:rsidR="0092263A" w:rsidRPr="00334C9E" w:rsidRDefault="00CC1488" w:rsidP="0092263A">
            <w:pPr>
              <w:jc w:val="center"/>
              <w:rPr>
                <w:rFonts w:cs="Arial"/>
                <w:color w:val="000000" w:themeColor="text1"/>
              </w:rPr>
            </w:pPr>
            <w:r w:rsidRPr="00CC1488">
              <w:rPr>
                <w:rFonts w:cs="Arial"/>
                <w:bCs/>
              </w:rPr>
              <w:t>4</w:t>
            </w:r>
            <w:r w:rsidR="0092263A" w:rsidRPr="00FF4937">
              <w:rPr>
                <w:rFonts w:cs="Arial"/>
                <w:b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B643E" w14:textId="108B8229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329B3" w14:textId="530D1B49" w:rsidR="0092263A" w:rsidRPr="0092263A" w:rsidRDefault="0092263A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1A7AA" w14:textId="4C8F1796" w:rsidR="0092263A" w:rsidRPr="0092263A" w:rsidRDefault="00C07F8B" w:rsidP="001C0D51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 xml:space="preserve">Vylučujúce </w:t>
            </w:r>
            <w:r w:rsidR="0092263A" w:rsidRPr="0092263A">
              <w:rPr>
                <w:rFonts w:asciiTheme="minorHAnsi" w:hAnsiTheme="minorHAnsi" w:cs="Arial"/>
                <w:bCs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4160" w14:textId="77777777" w:rsidR="0092263A" w:rsidRPr="0092263A" w:rsidRDefault="0092263A" w:rsidP="001C0D5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D0B8" w14:textId="77777777" w:rsidR="0092263A" w:rsidRPr="0092263A" w:rsidRDefault="0092263A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2915DF">
        <w:trPr>
          <w:trHeight w:val="226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2915DF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74D1" w14:textId="77777777" w:rsidR="0092263A" w:rsidRPr="0092263A" w:rsidRDefault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2107" w14:textId="77777777" w:rsidR="0092263A" w:rsidRPr="0092263A" w:rsidRDefault="0092263A" w:rsidP="001C0D5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FB5C" w14:textId="77777777" w:rsidR="0092263A" w:rsidRPr="0092263A" w:rsidRDefault="0092263A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2915D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2915DF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2915DF">
        <w:trPr>
          <w:trHeight w:val="114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5FAD7C1C" w:rsidR="0092263A" w:rsidRPr="0092263A" w:rsidRDefault="00CC1488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5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4EF3A3C0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Vhodnosť </w:t>
            </w:r>
            <w:r w:rsidR="00F204A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 w:rsidP="0092661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 w:rsidP="0092661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34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92263A" w:rsidRDefault="0092263A" w:rsidP="0092661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34" w:hanging="283"/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2915DF">
              <w:rPr>
                <w:rFonts w:asciiTheme="minorHAnsi" w:eastAsia="Times New Roman" w:hAnsiTheme="minorHAnsi" w:cs="Arial"/>
                <w:bCs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2EF47D9F" w:rsidR="0092263A" w:rsidRPr="0092263A" w:rsidRDefault="0092263A" w:rsidP="001C0D5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44B11515" w:rsidR="0092263A" w:rsidRPr="0092263A" w:rsidRDefault="001C0D51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zrozumiteľne definovan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jej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realizáciou sa dosiahnu plánované ciele projektu.</w:t>
            </w:r>
          </w:p>
        </w:tc>
      </w:tr>
      <w:tr w:rsidR="0092263A" w:rsidRPr="00334C9E" w14:paraId="512CD2FC" w14:textId="77777777" w:rsidTr="002915DF">
        <w:trPr>
          <w:trHeight w:val="30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7539AE7D" w:rsidR="0092263A" w:rsidRPr="0092263A" w:rsidRDefault="001C0D51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i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nie je odôvodnená </w:t>
            </w:r>
            <w:r w:rsidR="00F204A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u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, ktor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pre jeho realizáciu. Zistené nedostatky sú závažného charakteru.</w:t>
            </w:r>
          </w:p>
        </w:tc>
      </w:tr>
      <w:tr w:rsidR="0092263A" w:rsidRPr="00334C9E" w14:paraId="74898008" w14:textId="77777777" w:rsidTr="002915DF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30197924" w:rsidR="0092263A" w:rsidRPr="0092263A" w:rsidRDefault="00CC1488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6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6B4A5001" w:rsidR="0092263A" w:rsidRPr="0092263A" w:rsidRDefault="00F204AB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charakteristický ráz územia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531F70B5" w14:textId="1CEC2243" w:rsidR="0092263A" w:rsidRPr="0092263A" w:rsidRDefault="00F204AB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kultúrny a historický ráz územia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833C3F7" w14:textId="29EB2D66" w:rsidR="0092263A" w:rsidRPr="0092263A" w:rsidRDefault="00F204AB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miestne zvyky, gastronómia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4F1D05D" w14:textId="6615BEEC" w:rsidR="0092263A" w:rsidRPr="0092263A" w:rsidRDefault="00F204AB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2915DF">
            <w:pPr>
              <w:jc w:val="both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2915DF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2915DF">
            <w:pPr>
              <w:jc w:val="both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2915DF">
            <w:pPr>
              <w:jc w:val="both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2915D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2915DF">
            <w:pPr>
              <w:widowControl w:val="0"/>
              <w:spacing w:line="269" w:lineRule="exact"/>
              <w:ind w:right="2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2915D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F3CD155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7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3D96" w14:textId="71B89708" w:rsidR="009A79FD" w:rsidRPr="009A79FD" w:rsidRDefault="009A79FD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4C9D" w14:textId="77777777" w:rsid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</w:t>
            </w:r>
            <w:r w:rsidR="00F204A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  <w:p w14:paraId="3CC59E4E" w14:textId="064419A4" w:rsidR="00F204AB" w:rsidRPr="009A79FD" w:rsidRDefault="00F204AB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</w:tr>
      <w:tr w:rsidR="009A79FD" w:rsidRPr="00334C9E" w14:paraId="01B50E90" w14:textId="77777777" w:rsidTr="002915D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F464" w14:textId="77777777" w:rsid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</w:t>
            </w:r>
            <w:r w:rsidR="00F204A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  <w:p w14:paraId="3C82D1BD" w14:textId="56C03166" w:rsidR="00F204AB" w:rsidRPr="009A79FD" w:rsidRDefault="00F204AB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</w:tr>
      <w:tr w:rsidR="009A79FD" w:rsidRPr="00334C9E" w14:paraId="7D9D147F" w14:textId="77777777" w:rsidTr="002915D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2915DF">
            <w:pPr>
              <w:widowControl w:val="0"/>
              <w:spacing w:line="269" w:lineRule="exact"/>
              <w:ind w:right="2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2915DF">
        <w:trPr>
          <w:trHeight w:val="142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2495B4BC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8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021859D1" w:rsidR="009A79FD" w:rsidRDefault="009A79FD" w:rsidP="00C07F8B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7B3A5A06" w14:textId="77777777" w:rsidR="00C07F8B" w:rsidRPr="009A79FD" w:rsidRDefault="00C07F8B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152D2BC" w14:textId="77777777" w:rsidR="009A79FD" w:rsidRPr="003958AB" w:rsidRDefault="009A79FD" w:rsidP="0092661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92661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92661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2915DF">
            <w:pPr>
              <w:ind w:left="106"/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2915DF">
            <w:pPr>
              <w:widowControl w:val="0"/>
              <w:jc w:val="both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083E198B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2915D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2915DF">
            <w:pPr>
              <w:jc w:val="both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2915DF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2915DF">
        <w:trPr>
          <w:trHeight w:val="214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36ED831E" w:rsidR="009A79FD" w:rsidRPr="009A79FD" w:rsidRDefault="00CC1488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9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441C890D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Efektívnosť </w:t>
            </w:r>
            <w:r w:rsidR="00F204A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5187045E" w:rsidR="009A79FD" w:rsidRDefault="009A79FD" w:rsidP="00C07F8B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 či zodpovedajú obvyklým cenám v danom mieste a čase.</w:t>
            </w:r>
          </w:p>
          <w:p w14:paraId="6AE57401" w14:textId="77777777" w:rsidR="00C07F8B" w:rsidRPr="009A79FD" w:rsidRDefault="00C07F8B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4C3F218" w14:textId="5F2FCA7A" w:rsidR="009A79FD" w:rsidRP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Uvedené sa overuje prostredníctvom stanovených benchmarkov (mernej investičnej náročnosti projektu) a/alebo finančných limitov, príp. zrealizovaného verejného obstarávania, vykonaného prieskumu trhu alebo ďalších nástrojov na overenie hospodárnosti </w:t>
            </w:r>
            <w:r w:rsidR="00F204A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efektívnosti výdavkov (napr. znalecký posudok).</w:t>
            </w:r>
          </w:p>
          <w:p w14:paraId="6C2B3059" w14:textId="77777777" w:rsidR="009A79FD" w:rsidRP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A9EC0A8" w14:textId="43BF6ABB" w:rsidR="009A79FD" w:rsidRPr="009A79FD" w:rsidRDefault="009A79FD" w:rsidP="002915DF">
            <w:pPr>
              <w:widowControl w:val="0"/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7C8F6AE3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C07F8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2D03149B" w:rsidR="009A79FD" w:rsidRPr="009A79FD" w:rsidRDefault="009A79FD" w:rsidP="002915DF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sú hospodárne a efektívne a zodpovedajú obvyklým cenám </w:t>
            </w:r>
            <w:r w:rsidR="00F204A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2915D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609E91CC" w:rsidR="009A79FD" w:rsidRPr="009A79FD" w:rsidRDefault="009A79FD" w:rsidP="002915DF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nie sú hospodárne a efektívne, nezodpovedajú obvyklým cenám </w:t>
            </w:r>
            <w:r w:rsidR="00F204A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 mieste, nespĺňajú cieľ minimalizácie nákladov pri dodržaní požadovanej kvality výstupov.</w:t>
            </w:r>
          </w:p>
        </w:tc>
      </w:tr>
      <w:tr w:rsidR="009A79FD" w:rsidRPr="009A79FD" w14:paraId="2DB881EA" w14:textId="77777777" w:rsidTr="002915D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3C0C2812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0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237011AE" w:rsidR="009A79FD" w:rsidRP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finančná situácia/stabilita </w:t>
            </w:r>
            <w:r w:rsidR="001C0D51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, a to podľa vypočítaných hodnôt ukazovateľov vychádzajúc z účtovnej závierky </w:t>
            </w:r>
            <w:r w:rsidR="001C0D51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</w:p>
          <w:p w14:paraId="656F2C69" w14:textId="77777777" w:rsidR="009A79FD" w:rsidRPr="009A79FD" w:rsidRDefault="009A79FD" w:rsidP="002915DF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146E1E3" w14:textId="49E2D7CF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4D283EDC" w:rsidR="009A79FD" w:rsidRPr="009A79FD" w:rsidRDefault="00F204AB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2915DF">
            <w:pPr>
              <w:jc w:val="both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2915D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1C0057B0" w:rsidR="009A79FD" w:rsidRPr="009A79FD" w:rsidRDefault="00F204AB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2915DF">
            <w:pPr>
              <w:jc w:val="both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2915D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6E1B0216" w:rsidR="009A79FD" w:rsidRPr="009A79FD" w:rsidRDefault="00F204AB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2915DF">
            <w:pPr>
              <w:jc w:val="both"/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2915D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37688A3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lastRenderedPageBreak/>
              <w:t>1</w:t>
            </w:r>
            <w:r w:rsidR="00CC1488">
              <w:rPr>
                <w:rFonts w:asciiTheme="minorHAnsi" w:hAnsiTheme="minorHAnsi" w:cs="Arial"/>
                <w:bCs/>
              </w:rPr>
              <w:t>1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7777777" w:rsidR="009A79FD" w:rsidRPr="009A79FD" w:rsidRDefault="009A79FD" w:rsidP="002915DF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2915DF">
            <w:pPr>
              <w:jc w:val="both"/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2915D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2915DF">
            <w:pPr>
              <w:jc w:val="both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839B9B7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996843D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E5BDB12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4F0233E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4F54AC2D" w14:textId="77777777" w:rsidR="00F204AB" w:rsidRDefault="00F204A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A47A676" w14:textId="77777777" w:rsidR="00F204AB" w:rsidRDefault="00F204A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B84FC54" w14:textId="7E5E148F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2915DF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2915DF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4F5CCF0B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CC1488">
              <w:rPr>
                <w:rFonts w:asciiTheme="minorHAnsi" w:eastAsia="Helvetica" w:hAnsiTheme="minorHAnsi" w:cstheme="minorHAnsi"/>
              </w:rPr>
              <w:t xml:space="preserve">  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06A71AC8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1E8B3AD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3B2A929B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</w:t>
            </w:r>
            <w:r w:rsidR="006D1320">
              <w:rPr>
                <w:rFonts w:cs="Arial"/>
                <w:color w:val="000000" w:themeColor="text1"/>
              </w:rPr>
              <w:t xml:space="preserve">/ </w:t>
            </w:r>
            <w:r w:rsidRPr="00732DFC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B5619F6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CC1488" w:rsidRPr="00CC1488">
              <w:rPr>
                <w:rFonts w:asciiTheme="minorHAnsi" w:eastAsiaTheme="minorHAnsi" w:hAnsiTheme="minorHAnsi" w:cstheme="minorHAnsi"/>
              </w:rPr>
              <w:t xml:space="preserve"> </w:t>
            </w:r>
            <w:r w:rsidR="00CC1488">
              <w:rPr>
                <w:rFonts w:asciiTheme="minorHAnsi" w:eastAsiaTheme="minorHAnsi" w:hAnsiTheme="minorHAnsi" w:cstheme="minorHAnsi"/>
              </w:rPr>
              <w:t xml:space="preserve">  </w:t>
            </w:r>
            <w:r w:rsidR="00CC1488" w:rsidRPr="00CC1488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2915DF">
            <w:pPr>
              <w:pStyle w:val="Nadpis2"/>
              <w:outlineLvl w:val="1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0D0ADCAF" w:rsidR="009A79FD" w:rsidRPr="002915DF" w:rsidRDefault="00C07F8B" w:rsidP="002915DF">
            <w:pPr>
              <w:pStyle w:val="Nadpis2"/>
              <w:outlineLvl w:val="1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2915DF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2915DF">
            <w:pPr>
              <w:pStyle w:val="Nadpis2"/>
              <w:outlineLvl w:val="1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2915DF">
            <w:pPr>
              <w:pStyle w:val="Nadpis2"/>
              <w:outlineLvl w:val="1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4E38203C" w:rsidR="009A79FD" w:rsidRPr="00334C9E" w:rsidRDefault="00F204AB" w:rsidP="002915DF">
            <w:pPr>
              <w:pStyle w:val="Nadpis2"/>
              <w:outlineLvl w:val="1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 xml:space="preserve">      </w:t>
            </w:r>
            <w:r w:rsidR="00CC1488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0682548E" w:rsidR="009A79FD" w:rsidRPr="00334C9E" w:rsidRDefault="00CC1488" w:rsidP="00CC1488">
            <w:pPr>
              <w:ind w:left="338" w:hanging="338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9A79FD">
              <w:rPr>
                <w:rFonts w:asciiTheme="minorHAnsi" w:hAnsiTheme="minorHAnsi" w:cstheme="minorHAnsi"/>
                <w:color w:val="000000" w:themeColor="text1"/>
              </w:rPr>
              <w:t>.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648FB2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  <w:r w:rsidR="009A79FD">
              <w:rPr>
                <w:rFonts w:asciiTheme="minorHAnsi" w:hAnsiTheme="minorHAnsi" w:cs="Arial"/>
                <w:color w:val="000000" w:themeColor="text1"/>
              </w:rPr>
              <w:t>.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="009A79FD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1EAAB407" w:rsidR="009A79FD" w:rsidRPr="00334C9E" w:rsidRDefault="00DD6266" w:rsidP="006D132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6D1320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2636AF2E" w:rsidR="009A79FD" w:rsidRPr="00334C9E" w:rsidRDefault="00C07F8B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7777777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23456ACA" w:rsidR="00DD6266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7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15C930C2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6D1320">
              <w:rPr>
                <w:rFonts w:asciiTheme="minorHAnsi" w:hAnsiTheme="minorHAnsi" w:cs="Arial"/>
                <w:color w:val="000000" w:themeColor="text1"/>
              </w:rPr>
              <w:t>/</w:t>
            </w:r>
            <w:r w:rsidR="00C07F8B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1AEB3E85" w:rsidR="009A79FD" w:rsidRPr="00334C9E" w:rsidRDefault="00C07F8B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57A32C35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8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2B57A1A3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19856E5C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135467BB" w:rsidR="009A79FD" w:rsidRPr="00334C9E" w:rsidRDefault="00F204AB" w:rsidP="006D132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6D1320">
              <w:rPr>
                <w:rFonts w:asciiTheme="minorHAnsi" w:hAnsiTheme="minorHAnsi" w:cs="Arial"/>
                <w:color w:val="000000" w:themeColor="text1"/>
              </w:rPr>
              <w:t>/</w:t>
            </w:r>
            <w:r w:rsidR="00C07F8B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  <w:r w:rsidR="006D1320">
              <w:rPr>
                <w:rFonts w:asciiTheme="minorHAnsi" w:hAnsiTheme="minorHAnsi" w:cs="Arial"/>
                <w:color w:val="000000" w:themeColor="text1"/>
              </w:rPr>
              <w:t xml:space="preserve"> /</w:t>
            </w:r>
            <w:r w:rsidR="00C07F8B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281C36FE" w:rsidR="009A79FD" w:rsidRPr="00334C9E" w:rsidRDefault="00F204AB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2EE773CC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4DCA40BE" w:rsidR="009A79FD" w:rsidRPr="00334C9E" w:rsidRDefault="00C07F8B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5D7681BE" w:rsidR="009A79FD" w:rsidRPr="00334C9E" w:rsidRDefault="00F204AB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35959703" w:rsidR="00DD6266" w:rsidRPr="004108F8" w:rsidRDefault="00F204AB" w:rsidP="00DD6266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 w:rsidR="00DD6266" w:rsidRPr="004108F8">
              <w:rPr>
                <w:rFonts w:cs="Arial"/>
                <w:b/>
                <w:color w:val="000000" w:themeColor="text1"/>
              </w:rPr>
              <w:t xml:space="preserve">Celkový </w:t>
            </w:r>
            <w:r w:rsidRPr="004108F8">
              <w:rPr>
                <w:rFonts w:cs="Arial"/>
                <w:b/>
                <w:color w:val="000000" w:themeColor="text1"/>
              </w:rPr>
              <w:t>maximáln</w:t>
            </w:r>
            <w:r>
              <w:rPr>
                <w:rFonts w:cs="Arial"/>
                <w:b/>
                <w:color w:val="000000" w:themeColor="text1"/>
              </w:rPr>
              <w:t>y</w:t>
            </w:r>
            <w:r w:rsidRPr="004108F8">
              <w:rPr>
                <w:rFonts w:cs="Arial"/>
                <w:b/>
                <w:color w:val="000000" w:themeColor="text1"/>
              </w:rPr>
              <w:t xml:space="preserve"> </w:t>
            </w:r>
            <w:r w:rsidR="00DD6266" w:rsidRPr="004108F8">
              <w:rPr>
                <w:rFonts w:cs="Arial"/>
                <w:b/>
                <w:color w:val="000000" w:themeColor="text1"/>
              </w:rPr>
              <w:t xml:space="preserve">počet bodov                       </w:t>
            </w:r>
            <w:r>
              <w:rPr>
                <w:rFonts w:cs="Arial"/>
                <w:b/>
                <w:color w:val="000000" w:themeColor="text1"/>
              </w:rPr>
              <w:t>9</w:t>
            </w:r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46CF0CCE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</w:t>
      </w:r>
      <w:proofErr w:type="spellStart"/>
      <w:r w:rsidR="003A3DF2" w:rsidRPr="004108F8">
        <w:rPr>
          <w:rFonts w:cs="Arial"/>
          <w:b/>
          <w:color w:val="000000" w:themeColor="text1"/>
        </w:rPr>
        <w:t>t.j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r w:rsidR="00F204AB">
        <w:rPr>
          <w:rFonts w:cs="Arial"/>
          <w:b/>
          <w:color w:val="000000" w:themeColor="text1"/>
        </w:rPr>
        <w:t>6</w:t>
      </w:r>
      <w:r w:rsidR="00DD6266" w:rsidRPr="004108F8">
        <w:rPr>
          <w:rFonts w:cs="Arial"/>
          <w:b/>
          <w:color w:val="000000" w:themeColor="text1"/>
        </w:rPr>
        <w:t xml:space="preserve"> 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60657ED" w14:textId="77777777" w:rsidR="00F204AB" w:rsidRDefault="00F204AB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3A4A71EE" w14:textId="77777777" w:rsidR="00F204AB" w:rsidRDefault="00F204AB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1DD84F28" w14:textId="7C67EF0B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5351BF28" w:rsidR="00607288" w:rsidRPr="00A42D69" w:rsidRDefault="00B17EA3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07F8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159AD2E8" w:rsidR="00607288" w:rsidRPr="00A42D69" w:rsidRDefault="00B17EA3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58214F">
                  <w:rPr>
                    <w:rFonts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76AB89D8" w:rsidR="003B1FA9" w:rsidRPr="003958AB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kritéri</w:t>
      </w:r>
      <w:r w:rsidR="00F204AB">
        <w:rPr>
          <w:rFonts w:asciiTheme="minorHAnsi" w:hAnsiTheme="minorHAnsi"/>
          <w:lang w:val="sk-SK"/>
        </w:rPr>
        <w:t>um je</w:t>
      </w:r>
      <w:r w:rsidRPr="003958AB">
        <w:rPr>
          <w:rFonts w:asciiTheme="minorHAnsi" w:hAnsiTheme="minorHAnsi"/>
          <w:lang w:val="sk-SK"/>
        </w:rPr>
        <w:t>:</w:t>
      </w:r>
    </w:p>
    <w:p w14:paraId="4C504A3B" w14:textId="77777777" w:rsidR="00CC1488" w:rsidRPr="00CC1488" w:rsidRDefault="00CC1488" w:rsidP="00CC1488">
      <w:pPr>
        <w:numPr>
          <w:ilvl w:val="0"/>
          <w:numId w:val="36"/>
        </w:numPr>
        <w:spacing w:line="256" w:lineRule="auto"/>
        <w:ind w:left="1701"/>
        <w:contextualSpacing/>
        <w:jc w:val="both"/>
        <w:rPr>
          <w:rFonts w:ascii="Calibri" w:eastAsia="MS Gothic" w:hAnsi="Calibri" w:cs="Times New Roman"/>
          <w:lang w:bidi="en-US"/>
        </w:rPr>
      </w:pPr>
      <w:r w:rsidRPr="00CC1488">
        <w:rPr>
          <w:rFonts w:ascii="Calibri" w:eastAsia="MS Gothic" w:hAnsi="Calibri" w:cs="Times New Roman"/>
          <w:lang w:bidi="en-US"/>
        </w:rPr>
        <w:t>Posúdenie vplyvu a dopadu projektu na plnenie stratégiu CLLD - t</w:t>
      </w:r>
      <w:r w:rsidRPr="00CC1488">
        <w:rPr>
          <w:rFonts w:ascii="Arial" w:eastAsia="MS Gothic" w:hAnsi="Arial" w:cs="Arial"/>
          <w:sz w:val="20"/>
          <w:szCs w:val="20"/>
          <w:lang w:bidi="en-US"/>
        </w:rPr>
        <w:t>oto rozlišovacie kritérium aplikuje výberová komisia MAS.</w:t>
      </w:r>
    </w:p>
    <w:p w14:paraId="159FF56E" w14:textId="7777777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92661C">
      <w:headerReference w:type="first" r:id="rId8"/>
      <w:footerReference w:type="first" r:id="rId9"/>
      <w:pgSz w:w="16838" w:h="11906" w:orient="landscape"/>
      <w:pgMar w:top="284" w:right="720" w:bottom="720" w:left="72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5E52E" w14:textId="77777777" w:rsidR="00B17EA3" w:rsidRDefault="00B17EA3" w:rsidP="006447D5">
      <w:pPr>
        <w:spacing w:after="0" w:line="240" w:lineRule="auto"/>
      </w:pPr>
      <w:r>
        <w:separator/>
      </w:r>
    </w:p>
  </w:endnote>
  <w:endnote w:type="continuationSeparator" w:id="0">
    <w:p w14:paraId="19F32429" w14:textId="77777777" w:rsidR="00B17EA3" w:rsidRDefault="00B17EA3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B897A" w14:textId="63D02E23" w:rsidR="00041014" w:rsidRDefault="0017439E" w:rsidP="00041014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74A472AC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90A0E0E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25D21AB8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92661C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2E747" w14:textId="77777777" w:rsidR="00B17EA3" w:rsidRDefault="00B17EA3" w:rsidP="006447D5">
      <w:pPr>
        <w:spacing w:after="0" w:line="240" w:lineRule="auto"/>
      </w:pPr>
      <w:r>
        <w:separator/>
      </w:r>
    </w:p>
  </w:footnote>
  <w:footnote w:type="continuationSeparator" w:id="0">
    <w:p w14:paraId="074DFD62" w14:textId="77777777" w:rsidR="00B17EA3" w:rsidRDefault="00B17EA3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6EBA4" w14:textId="4AA6962C" w:rsidR="00F204AB" w:rsidRDefault="00F204AB" w:rsidP="00335098">
    <w:pPr>
      <w:ind w:left="2832" w:firstLine="8083"/>
      <w:rPr>
        <w:i/>
        <w:iCs/>
        <w:sz w:val="18"/>
        <w:szCs w:val="18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2032" behindDoc="1" locked="0" layoutInCell="1" allowOverlap="1" wp14:anchorId="1424D80E" wp14:editId="77295A16">
          <wp:simplePos x="0" y="0"/>
          <wp:positionH relativeFrom="column">
            <wp:posOffset>4489450</wp:posOffset>
          </wp:positionH>
          <wp:positionV relativeFrom="paragraph">
            <wp:posOffset>86995</wp:posOffset>
          </wp:positionV>
          <wp:extent cx="1853565" cy="654050"/>
          <wp:effectExtent l="0" t="0" r="0" b="0"/>
          <wp:wrapTight wrapText="bothSides">
            <wp:wrapPolygon edited="0">
              <wp:start x="2664" y="7550"/>
              <wp:lineTo x="2664" y="12583"/>
              <wp:lineTo x="4440" y="18874"/>
              <wp:lineTo x="5328" y="20132"/>
              <wp:lineTo x="10434" y="20761"/>
              <wp:lineTo x="11544" y="20761"/>
              <wp:lineTo x="15540" y="20132"/>
              <wp:lineTo x="16650" y="19503"/>
              <wp:lineTo x="16428" y="18874"/>
              <wp:lineTo x="21311" y="15099"/>
              <wp:lineTo x="21311" y="11953"/>
              <wp:lineTo x="12876" y="7550"/>
              <wp:lineTo x="2664" y="7550"/>
            </wp:wrapPolygon>
          </wp:wrapTight>
          <wp:docPr id="74" name="Obrázek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3565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2498B993" wp14:editId="30465F8A">
          <wp:simplePos x="0" y="0"/>
          <wp:positionH relativeFrom="column">
            <wp:posOffset>7480935</wp:posOffset>
          </wp:positionH>
          <wp:positionV relativeFrom="paragraph">
            <wp:posOffset>300355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57279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570F6242" wp14:editId="442C1456">
          <wp:simplePos x="0" y="0"/>
          <wp:positionH relativeFrom="column">
            <wp:posOffset>508000</wp:posOffset>
          </wp:positionH>
          <wp:positionV relativeFrom="paragraph">
            <wp:posOffset>176530</wp:posOffset>
          </wp:positionV>
          <wp:extent cx="647700" cy="598170"/>
          <wp:effectExtent l="0" t="0" r="0" b="0"/>
          <wp:wrapNone/>
          <wp:docPr id="7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98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12FA535" w14:textId="77777777" w:rsidR="00F204AB" w:rsidRDefault="00F204AB" w:rsidP="00335098">
    <w:pPr>
      <w:rPr>
        <w:i/>
        <w:iCs/>
        <w:sz w:val="18"/>
        <w:szCs w:val="18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7B1B19E7" wp14:editId="535FEDA0">
          <wp:simplePos x="0" y="0"/>
          <wp:positionH relativeFrom="column">
            <wp:posOffset>2453005</wp:posOffset>
          </wp:positionH>
          <wp:positionV relativeFrom="paragraph">
            <wp:posOffset>7620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7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E511C7B" w14:textId="77777777" w:rsidR="00F204AB" w:rsidRDefault="00F204AB" w:rsidP="00335098">
    <w:pPr>
      <w:rPr>
        <w:i/>
        <w:iCs/>
        <w:sz w:val="18"/>
        <w:szCs w:val="18"/>
      </w:rPr>
    </w:pPr>
  </w:p>
  <w:p w14:paraId="280C4ED4" w14:textId="77777777" w:rsidR="00F204AB" w:rsidRDefault="00F204AB" w:rsidP="00335098">
    <w:pPr>
      <w:ind w:firstLine="11766"/>
      <w:rPr>
        <w:i/>
        <w:iCs/>
        <w:sz w:val="18"/>
        <w:szCs w:val="18"/>
      </w:rPr>
    </w:pPr>
  </w:p>
  <w:p w14:paraId="4FE15440" w14:textId="03B10E7F" w:rsidR="00E5263D" w:rsidRPr="00A70827" w:rsidRDefault="00CC1488" w:rsidP="0092661C">
    <w:pPr>
      <w:ind w:firstLine="11766"/>
      <w:rPr>
        <w:rFonts w:ascii="Arial Narrow" w:hAnsi="Arial Narrow"/>
        <w:sz w:val="20"/>
      </w:rPr>
    </w:pPr>
    <w:r w:rsidRPr="0092661C">
      <w:rPr>
        <w:i/>
        <w:iCs/>
        <w:sz w:val="18"/>
        <w:szCs w:val="18"/>
      </w:rPr>
      <w:t xml:space="preserve">Príloha č. 4 výzvy – Kritériá na výber projektov </w:t>
    </w:r>
    <w:r w:rsidR="0017439E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5BB7C35" wp14:editId="7B869FEA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B311502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</w:p>
  <w:p w14:paraId="126A0C05" w14:textId="39F72751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57044"/>
    <w:multiLevelType w:val="hybridMultilevel"/>
    <w:tmpl w:val="658077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03960"/>
    <w:multiLevelType w:val="hybridMultilevel"/>
    <w:tmpl w:val="923A61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3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30"/>
  </w:num>
  <w:num w:numId="5">
    <w:abstractNumId w:val="31"/>
  </w:num>
  <w:num w:numId="6">
    <w:abstractNumId w:val="8"/>
  </w:num>
  <w:num w:numId="7">
    <w:abstractNumId w:val="28"/>
  </w:num>
  <w:num w:numId="8">
    <w:abstractNumId w:val="12"/>
  </w:num>
  <w:num w:numId="9">
    <w:abstractNumId w:val="13"/>
  </w:num>
  <w:num w:numId="10">
    <w:abstractNumId w:val="5"/>
  </w:num>
  <w:num w:numId="11">
    <w:abstractNumId w:val="18"/>
  </w:num>
  <w:num w:numId="12">
    <w:abstractNumId w:val="15"/>
  </w:num>
  <w:num w:numId="13">
    <w:abstractNumId w:val="27"/>
  </w:num>
  <w:num w:numId="14">
    <w:abstractNumId w:val="22"/>
  </w:num>
  <w:num w:numId="15">
    <w:abstractNumId w:val="14"/>
  </w:num>
  <w:num w:numId="16">
    <w:abstractNumId w:val="9"/>
  </w:num>
  <w:num w:numId="17">
    <w:abstractNumId w:val="19"/>
  </w:num>
  <w:num w:numId="18">
    <w:abstractNumId w:val="29"/>
  </w:num>
  <w:num w:numId="19">
    <w:abstractNumId w:val="25"/>
  </w:num>
  <w:num w:numId="20">
    <w:abstractNumId w:val="2"/>
  </w:num>
  <w:num w:numId="21">
    <w:abstractNumId w:val="1"/>
  </w:num>
  <w:num w:numId="22">
    <w:abstractNumId w:val="33"/>
  </w:num>
  <w:num w:numId="23">
    <w:abstractNumId w:val="7"/>
  </w:num>
  <w:num w:numId="24">
    <w:abstractNumId w:val="33"/>
  </w:num>
  <w:num w:numId="25">
    <w:abstractNumId w:val="1"/>
  </w:num>
  <w:num w:numId="26">
    <w:abstractNumId w:val="7"/>
  </w:num>
  <w:num w:numId="27">
    <w:abstractNumId w:val="6"/>
  </w:num>
  <w:num w:numId="28">
    <w:abstractNumId w:val="26"/>
  </w:num>
  <w:num w:numId="29">
    <w:abstractNumId w:val="24"/>
  </w:num>
  <w:num w:numId="30">
    <w:abstractNumId w:val="32"/>
  </w:num>
  <w:num w:numId="31">
    <w:abstractNumId w:val="11"/>
  </w:num>
  <w:num w:numId="32">
    <w:abstractNumId w:val="10"/>
  </w:num>
  <w:num w:numId="33">
    <w:abstractNumId w:val="20"/>
  </w:num>
  <w:num w:numId="34">
    <w:abstractNumId w:val="16"/>
  </w:num>
  <w:num w:numId="35">
    <w:abstractNumId w:val="21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625C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439E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93953"/>
    <w:rsid w:val="001A0BEE"/>
    <w:rsid w:val="001B0ED2"/>
    <w:rsid w:val="001B3ED7"/>
    <w:rsid w:val="001C0D51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15DF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BD2"/>
    <w:rsid w:val="003269E1"/>
    <w:rsid w:val="003320FE"/>
    <w:rsid w:val="00332619"/>
    <w:rsid w:val="00333D87"/>
    <w:rsid w:val="00334C9E"/>
    <w:rsid w:val="00335098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4B01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58AB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214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1320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08B7"/>
    <w:rsid w:val="00823447"/>
    <w:rsid w:val="00823E50"/>
    <w:rsid w:val="00824E23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661C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2079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1564"/>
    <w:rsid w:val="00B1456D"/>
    <w:rsid w:val="00B17EA3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07F8B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1488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6CC8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AB"/>
    <w:rsid w:val="00F204FC"/>
    <w:rsid w:val="00F225C5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A71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74A2"/>
    <w:rsid w:val="000B71EE"/>
    <w:rsid w:val="00163B11"/>
    <w:rsid w:val="001C649A"/>
    <w:rsid w:val="001D55CF"/>
    <w:rsid w:val="0021149F"/>
    <w:rsid w:val="00212C3B"/>
    <w:rsid w:val="005A4146"/>
    <w:rsid w:val="006B3B1E"/>
    <w:rsid w:val="00961741"/>
    <w:rsid w:val="00A64618"/>
    <w:rsid w:val="00AD089D"/>
    <w:rsid w:val="00B20F1E"/>
    <w:rsid w:val="00B874A2"/>
    <w:rsid w:val="00BB08B9"/>
    <w:rsid w:val="00BD4DD8"/>
    <w:rsid w:val="00BE7B35"/>
    <w:rsid w:val="00C7603E"/>
    <w:rsid w:val="00CA0D69"/>
    <w:rsid w:val="00EA7464"/>
    <w:rsid w:val="00F60CBA"/>
    <w:rsid w:val="00F94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174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572AB-6753-49BC-BC28-757D6DEE7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1515</Words>
  <Characters>8638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2021-02-15T21:57:00Z</dcterms:created>
  <dcterms:modified xsi:type="dcterms:W3CDTF">2021-05-07T13:54:00Z</dcterms:modified>
</cp:coreProperties>
</file>