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4217D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3258E35" w14:textId="4454FFEA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</w:t>
      </w:r>
      <w:r w:rsidR="00152DA2">
        <w:rPr>
          <w:rFonts w:asciiTheme="minorHAnsi" w:hAnsiTheme="minorHAnsi" w:cstheme="minorHAnsi"/>
          <w:b/>
          <w:color w:val="1F497D"/>
          <w:sz w:val="36"/>
          <w:szCs w:val="36"/>
        </w:rPr>
        <w:t>ej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aktiv</w:t>
      </w:r>
      <w:r w:rsidR="00152DA2">
        <w:rPr>
          <w:rFonts w:asciiTheme="minorHAnsi" w:hAnsiTheme="minorHAnsi" w:cstheme="minorHAnsi"/>
          <w:b/>
          <w:color w:val="1F497D"/>
          <w:sz w:val="36"/>
          <w:szCs w:val="36"/>
        </w:rPr>
        <w:t>i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t</w:t>
      </w:r>
      <w:r w:rsidR="00152DA2">
        <w:rPr>
          <w:rFonts w:asciiTheme="minorHAnsi" w:hAnsiTheme="minorHAnsi" w:cstheme="minorHAnsi"/>
          <w:b/>
          <w:color w:val="1F497D"/>
          <w:sz w:val="36"/>
          <w:szCs w:val="36"/>
        </w:rPr>
        <w:t>y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 oprávnených výdavkov</w:t>
      </w:r>
    </w:p>
    <w:tbl>
      <w:tblPr>
        <w:tblStyle w:val="Mkatabulky"/>
        <w:tblpPr w:leftFromText="141" w:rightFromText="141" w:vertAnchor="text" w:horzAnchor="margin" w:tblpY="796"/>
        <w:tblW w:w="14601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DB1DC3" w:rsidRPr="00A92579" w14:paraId="4BF868CB" w14:textId="77777777" w:rsidTr="00DB1DC3">
        <w:tc>
          <w:tcPr>
            <w:tcW w:w="14601" w:type="dxa"/>
            <w:shd w:val="clear" w:color="auto" w:fill="A6A6A6" w:themeFill="background1" w:themeFillShade="A6"/>
          </w:tcPr>
          <w:p w14:paraId="1BABDD79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2B5C3882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A92579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0BF0ACFF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2B2956FB" w14:textId="77777777" w:rsidR="00DB1DC3" w:rsidRPr="00A92579" w:rsidRDefault="00DB1DC3" w:rsidP="00DB1DC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 má nárok na vrátanie (odpočet) DPH za nadobudnutý a/alebo zhodnotený majetok, ktorý je financovaný z príspevku;</w:t>
            </w:r>
          </w:p>
          <w:p w14:paraId="6BFA9254" w14:textId="77777777" w:rsidR="00DB1DC3" w:rsidRPr="00A92579" w:rsidRDefault="00DB1DC3" w:rsidP="00DB1DC3">
            <w:pPr>
              <w:pStyle w:val="Odstavecseseznamem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 účely tejto činnosti sa prevádzkovateľ tohto majetku stáva zdaniteľnou osobou podľa § 3 zákona o DPH</w:t>
            </w:r>
            <w:r w:rsidRPr="00A92579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06CC94BC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729948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 verejnom obstarávaní a usmerneniami RO pre IROP k procesom verejného obstarávania.</w:t>
            </w:r>
          </w:p>
          <w:p w14:paraId="546F46B5" w14:textId="206D980A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9B5779"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je povinný zostaviť rozpočet projektu, pričom ako oprávnené výdavky si môže nárokovať len tie, ktoré spadajú do nižšie uvedené</w:t>
            </w:r>
            <w:r w:rsidR="00152DA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Žiadateľ</w:t>
            </w:r>
            <w:r w:rsidR="009B5779"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46334B07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38D22BFA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71EDE6E4" w14:textId="77777777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EA4D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709" w:bottom="1417" w:left="1417" w:header="0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2D4C5FFD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19431EF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5622596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60B2F4C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AD77C0A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CC9E07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1096A65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7BE4B1A" w14:textId="77777777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A53D227" w14:textId="77777777" w:rsidR="00856D01" w:rsidRPr="00152DA2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6CB1F45D" w14:textId="0BEA8D67" w:rsidR="00856D01" w:rsidRPr="00152DA2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stavebno</w:t>
            </w:r>
            <w:r w:rsidR="006C7EC4" w:rsidRPr="00152DA2">
              <w:rPr>
                <w:rFonts w:asciiTheme="minorHAnsi" w:hAnsiTheme="minorHAnsi" w:cstheme="minorHAnsi"/>
                <w:color w:val="FFFFFF" w:themeColor="background1"/>
              </w:rPr>
              <w:t>-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technické</w:t>
            </w:r>
            <w:proofErr w:type="spellEnd"/>
            <w:r w:rsidR="00152DA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s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1F87798" w14:textId="77777777" w:rsidR="00856D01" w:rsidRPr="00152DA2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3410B399" w14:textId="77777777" w:rsidR="000950EA" w:rsidRPr="00152DA2" w:rsidRDefault="00856D01" w:rsidP="00773273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152DA2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7FC6C2F5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73221B3" w14:textId="77777777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9438AB3" w14:textId="77777777" w:rsidR="00F64E2F" w:rsidRDefault="00F64E2F" w:rsidP="006C7EC4">
            <w:pPr>
              <w:spacing w:after="40"/>
              <w:ind w:left="255"/>
              <w:jc w:val="center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F2CB11F" w14:textId="52CFF58E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093BFAA" w14:textId="79AE37A8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0F2CA897" w14:textId="500CA059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="00152DA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3F4C5570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6E768672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5410BEAC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proofErr w:type="gram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proofErr w:type="gram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4B283A32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152DA2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614D5E8A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7030ADD2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6893B64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8AD8910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546FD73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61A15AB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0621D54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5AFEEFFC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01497A6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7AEA864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122F4EF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3BF4CC52" w14:textId="0A43DEF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</w:t>
            </w:r>
            <w:r w:rsidR="003B35C1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teritoriálnych organizácií a združení – celá sekcia neoprávnená</w:t>
            </w:r>
          </w:p>
          <w:p w14:paraId="394F2BE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D54D72D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</w:p>
          <w:p w14:paraId="2ACF960B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8BBDC6A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E96DAC4" w14:textId="69C99291" w:rsidR="00A83CB5" w:rsidRPr="00EA4DD3" w:rsidRDefault="00F64E2F" w:rsidP="00A83CB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0000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152DA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A92579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A83CB5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A83CB5"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a  </w:t>
            </w:r>
            <w:proofErr w:type="spellStart"/>
            <w:r w:rsidR="00A83CB5"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poľnohospodárstva</w:t>
            </w:r>
            <w:proofErr w:type="spellEnd"/>
          </w:p>
          <w:p w14:paraId="4C5348A6" w14:textId="77777777" w:rsidR="00A83CB5" w:rsidRPr="00EA4DD3" w:rsidRDefault="00A83CB5" w:rsidP="00A83CB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0000"/>
                <w:lang w:val="sk-SK"/>
              </w:rPr>
            </w:pPr>
          </w:p>
          <w:p w14:paraId="3216F208" w14:textId="77777777" w:rsidR="00A83CB5" w:rsidRPr="00EA4DD3" w:rsidRDefault="00A83CB5" w:rsidP="00EA4DD3">
            <w:pPr>
              <w:spacing w:after="40"/>
              <w:ind w:left="121" w:right="115"/>
              <w:jc w:val="both"/>
              <w:rPr>
                <w:rFonts w:asciiTheme="minorHAnsi" w:hAnsiTheme="minorHAnsi" w:cstheme="minorHAnsi"/>
                <w:b/>
                <w:bCs/>
                <w:color w:val="FF0000"/>
                <w:lang w:val="sk-SK"/>
              </w:rPr>
            </w:pP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Projekty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predkladané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v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rámci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SK NACE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mimo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negatívneho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zoznamu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ekonomických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činností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uvedených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vyššie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(t. j.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ktoré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sú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vylúčené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z 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podpory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),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sú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oprávnené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len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v tom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prípade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,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ak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takýto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projekt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nebol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schválený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v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rámci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Stratégie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CLLD,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časť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PRV, o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čom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žiadateľ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predkladá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samostatné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čestné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vyhlásenie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.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Vnútorné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vybavenie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ubytovacích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zariadení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je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neoprávneným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výdavkom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FF0000"/>
              </w:rPr>
              <w:t>.</w:t>
            </w:r>
          </w:p>
          <w:p w14:paraId="5DD35CA9" w14:textId="77777777" w:rsidR="00F64E2F" w:rsidRPr="00773273" w:rsidRDefault="00F64E2F" w:rsidP="00A92579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6D1A8BD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786DD5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32027E0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E73ED4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061C655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5CDDD11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4AA8407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97C913" w14:textId="77777777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2609B126" w14:textId="77777777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54798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4AAB0AD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48B077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6A6BA57" w14:textId="7777777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1B3128" w:rsidRPr="009B0208" w14:paraId="4CCE48EB" w14:textId="77777777" w:rsidTr="00EA4DD3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58E56999" w14:textId="38C86DDB" w:rsidR="001B3128" w:rsidRPr="009B0208" w:rsidRDefault="001B3128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1B312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 prostriedky</w:t>
            </w:r>
          </w:p>
        </w:tc>
        <w:tc>
          <w:tcPr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526380A1" w14:textId="77777777" w:rsidR="001B3128" w:rsidRPr="00EA4DD3" w:rsidRDefault="001B3128" w:rsidP="00E1797A">
            <w:pPr>
              <w:pStyle w:val="Default"/>
              <w:widowControl w:val="0"/>
              <w:numPr>
                <w:ilvl w:val="0"/>
                <w:numId w:val="5"/>
              </w:numPr>
              <w:ind w:left="537" w:right="85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4E4A8172" w14:textId="77777777" w:rsidR="001B3128" w:rsidRPr="00152DA2" w:rsidRDefault="001B3128" w:rsidP="00EA4DD3">
            <w:pPr>
              <w:pStyle w:val="Default"/>
              <w:widowControl w:val="0"/>
              <w:ind w:left="720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4110A8A" w14:textId="519D7B64" w:rsidR="001B3128" w:rsidRPr="009B0208" w:rsidRDefault="001B3128" w:rsidP="00EA4DD3">
            <w:pPr>
              <w:pStyle w:val="Default"/>
              <w:widowControl w:val="0"/>
              <w:ind w:left="53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vozidiel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cestnej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dopravy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EA4DD3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cestnej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nákladného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vozidla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na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prepravu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materiálu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tovaru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žiadateľa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nie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za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úplatu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subjekty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856D01" w:rsidRPr="009B0208" w14:paraId="28F09D1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6A44C5B" w14:textId="77777777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12309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6CDE585B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50E2032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1C627FC" w14:textId="77777777" w:rsidR="00856D01" w:rsidRPr="009B0208" w:rsidRDefault="00856D01" w:rsidP="00EA4DD3">
            <w:pPr>
              <w:pStyle w:val="Default"/>
              <w:widowControl w:val="0"/>
              <w:ind w:firstLine="78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9F8B8BB" w14:textId="77777777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75D38AAA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4F7B8675" w14:textId="77777777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="00E9711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099FE868" w14:textId="77777777" w:rsidR="00856D01" w:rsidRPr="005414AD" w:rsidRDefault="00856D01" w:rsidP="004B5802">
      <w:pPr>
        <w:rPr>
          <w:rFonts w:asciiTheme="minorHAnsi" w:hAnsiTheme="minorHAnsi" w:cstheme="minorHAnsi"/>
        </w:rPr>
      </w:pPr>
    </w:p>
    <w:sectPr w:rsidR="00856D01" w:rsidRPr="005414AD" w:rsidSect="003C7984">
      <w:headerReference w:type="default" r:id="rId14"/>
      <w:headerReference w:type="first" r:id="rId15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5C858" w14:textId="77777777" w:rsidR="005815ED" w:rsidRDefault="005815ED" w:rsidP="007900C1">
      <w:r>
        <w:separator/>
      </w:r>
    </w:p>
  </w:endnote>
  <w:endnote w:type="continuationSeparator" w:id="0">
    <w:p w14:paraId="749F1DC6" w14:textId="77777777" w:rsidR="005815ED" w:rsidRDefault="005815ED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F4AEA" w14:textId="77777777" w:rsidR="005E60EB" w:rsidRDefault="005E60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EA1DF" w14:textId="578378C9" w:rsidR="00A76425" w:rsidRDefault="00C5135E" w:rsidP="00437D96">
    <w:pPr>
      <w:pStyle w:val="Zpat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96168F4" wp14:editId="35068E07">
              <wp:simplePos x="0" y="0"/>
              <wp:positionH relativeFrom="column">
                <wp:posOffset>-5080</wp:posOffset>
              </wp:positionH>
              <wp:positionV relativeFrom="paragraph">
                <wp:posOffset>120650</wp:posOffset>
              </wp:positionV>
              <wp:extent cx="9112250" cy="41275"/>
              <wp:effectExtent l="0" t="0" r="12700" b="15875"/>
              <wp:wrapNone/>
              <wp:docPr id="11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11225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05044E" id="Rovná spojnica 11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6464DF85" w14:textId="523A26B7" w:rsidR="00A76425" w:rsidRDefault="00A76425" w:rsidP="00437D96">
    <w:pPr>
      <w:pStyle w:val="Zpat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 w:rsidR="004E0696">
          <w:fldChar w:fldCharType="begin"/>
        </w:r>
        <w:r>
          <w:instrText>PAGE   \* MERGEFORMAT</w:instrText>
        </w:r>
        <w:r w:rsidR="004E0696">
          <w:fldChar w:fldCharType="separate"/>
        </w:r>
        <w:r w:rsidR="005E60EB">
          <w:rPr>
            <w:noProof/>
          </w:rPr>
          <w:t>2</w:t>
        </w:r>
        <w:r w:rsidR="004E0696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6AA7D" w14:textId="77777777" w:rsidR="005E60EB" w:rsidRDefault="005E60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431B5" w14:textId="77777777" w:rsidR="005815ED" w:rsidRDefault="005815ED" w:rsidP="007900C1">
      <w:r>
        <w:separator/>
      </w:r>
    </w:p>
  </w:footnote>
  <w:footnote w:type="continuationSeparator" w:id="0">
    <w:p w14:paraId="4350552C" w14:textId="77777777" w:rsidR="005815ED" w:rsidRDefault="005815ED" w:rsidP="007900C1">
      <w:r>
        <w:continuationSeparator/>
      </w:r>
    </w:p>
  </w:footnote>
  <w:footnote w:id="1">
    <w:p w14:paraId="13D901D3" w14:textId="77777777" w:rsidR="00DB1DC3" w:rsidRDefault="00DB1DC3" w:rsidP="00DB1DC3">
      <w:pPr>
        <w:pStyle w:val="Textpoznpodarou"/>
        <w:ind w:left="170" w:hanging="170"/>
        <w:jc w:val="both"/>
        <w:rPr>
          <w:rStyle w:val="Znakapoznpodarou"/>
          <w:rFonts w:ascii="Arial Narrow" w:hAnsi="Arial Narrow"/>
          <w:szCs w:val="18"/>
        </w:rPr>
      </w:pPr>
      <w:r>
        <w:rPr>
          <w:rStyle w:val="Znakapoznpodarou"/>
          <w:rFonts w:ascii="Arial Narrow" w:hAnsi="Arial Narrow"/>
          <w:szCs w:val="18"/>
        </w:rPr>
        <w:footnoteRef/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draznn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8667D" w14:textId="77777777" w:rsidR="005E60EB" w:rsidRDefault="005E60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51B0E" w14:textId="7921F375" w:rsidR="00A76425" w:rsidRDefault="00D37BAE" w:rsidP="00D37BAE">
    <w:pPr>
      <w:pStyle w:val="Zhlav"/>
      <w:ind w:right="5215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6C2C75A" wp14:editId="0FBB3E58">
          <wp:simplePos x="0" y="0"/>
          <wp:positionH relativeFrom="column">
            <wp:posOffset>2402205</wp:posOffset>
          </wp:positionH>
          <wp:positionV relativeFrom="paragraph">
            <wp:posOffset>234950</wp:posOffset>
          </wp:positionV>
          <wp:extent cx="561975" cy="425450"/>
          <wp:effectExtent l="0" t="0" r="9525" b="0"/>
          <wp:wrapTight wrapText="bothSides">
            <wp:wrapPolygon edited="0">
              <wp:start x="2197" y="0"/>
              <wp:lineTo x="0" y="14507"/>
              <wp:lineTo x="0" y="19343"/>
              <wp:lineTo x="4393" y="20310"/>
              <wp:lineTo x="16108" y="20310"/>
              <wp:lineTo x="21234" y="18376"/>
              <wp:lineTo x="21234" y="14507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693753AF" wp14:editId="63F4562E">
          <wp:simplePos x="0" y="0"/>
          <wp:positionH relativeFrom="margin">
            <wp:posOffset>6447790</wp:posOffset>
          </wp:positionH>
          <wp:positionV relativeFrom="paragraph">
            <wp:posOffset>175260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125D4C2B" wp14:editId="1668A985">
          <wp:simplePos x="0" y="0"/>
          <wp:positionH relativeFrom="column">
            <wp:posOffset>700405</wp:posOffset>
          </wp:positionH>
          <wp:positionV relativeFrom="paragraph">
            <wp:posOffset>82550</wp:posOffset>
          </wp:positionV>
          <wp:extent cx="647700" cy="609600"/>
          <wp:effectExtent l="0" t="0" r="0" b="0"/>
          <wp:wrapNone/>
          <wp:docPr id="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</w:rPr>
      <w:t xml:space="preserve">                                                           </w:t>
    </w:r>
    <w:r w:rsidR="00A76425">
      <w:rPr>
        <w:rFonts w:ascii="Arial Narrow" w:hAnsi="Arial Narrow"/>
        <w:sz w:val="20"/>
      </w:rPr>
      <w:tab/>
    </w:r>
    <w:r>
      <w:rPr>
        <w:noProof/>
        <w:lang w:eastAsia="sk-SK"/>
      </w:rPr>
      <w:drawing>
        <wp:inline distT="0" distB="0" distL="0" distR="0" wp14:anchorId="38691C9B" wp14:editId="304CCB11">
          <wp:extent cx="1771650" cy="619125"/>
          <wp:effectExtent l="0" t="0" r="0" b="0"/>
          <wp:docPr id="4" name="Grafický objekt 1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33FAB" w14:textId="46BB0B83" w:rsidR="00E818C1" w:rsidRPr="00EA4DD3" w:rsidRDefault="005E60EB" w:rsidP="00EA4DD3">
    <w:pPr>
      <w:pStyle w:val="Zhlav"/>
      <w:tabs>
        <w:tab w:val="right" w:pos="4510"/>
      </w:tabs>
      <w:jc w:val="left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6C46A164" wp14:editId="45521938">
          <wp:simplePos x="0" y="0"/>
          <wp:positionH relativeFrom="column">
            <wp:posOffset>4750228</wp:posOffset>
          </wp:positionH>
          <wp:positionV relativeFrom="paragraph">
            <wp:posOffset>12065</wp:posOffset>
          </wp:positionV>
          <wp:extent cx="1605915" cy="667385"/>
          <wp:effectExtent l="0" t="0" r="0" b="0"/>
          <wp:wrapTight wrapText="bothSides">
            <wp:wrapPolygon edited="0">
              <wp:start x="2562" y="7399"/>
              <wp:lineTo x="2562" y="12948"/>
              <wp:lineTo x="4100" y="18497"/>
              <wp:lineTo x="5381" y="20346"/>
              <wp:lineTo x="10249" y="20963"/>
              <wp:lineTo x="11530" y="20963"/>
              <wp:lineTo x="15630" y="20346"/>
              <wp:lineTo x="16911" y="19730"/>
              <wp:lineTo x="16655" y="18497"/>
              <wp:lineTo x="21267" y="15414"/>
              <wp:lineTo x="21267" y="12331"/>
              <wp:lineTo x="12811" y="7399"/>
              <wp:lineTo x="2562" y="7399"/>
            </wp:wrapPolygon>
          </wp:wrapTight>
          <wp:docPr id="5" name="Obrázek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6374C6A1" wp14:editId="220B27F7">
          <wp:simplePos x="0" y="0"/>
          <wp:positionH relativeFrom="column">
            <wp:posOffset>7153423</wp:posOffset>
          </wp:positionH>
          <wp:positionV relativeFrom="paragraph">
            <wp:posOffset>253513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2DA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49024" behindDoc="1" locked="0" layoutInCell="1" allowOverlap="1" wp14:anchorId="1C27CF8D" wp14:editId="31073B3C">
          <wp:simplePos x="0" y="0"/>
          <wp:positionH relativeFrom="column">
            <wp:posOffset>2780665</wp:posOffset>
          </wp:positionH>
          <wp:positionV relativeFrom="paragraph">
            <wp:posOffset>161925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2DA2"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9042765" wp14:editId="1A89D2F9">
          <wp:simplePos x="0" y="0"/>
          <wp:positionH relativeFrom="column">
            <wp:posOffset>605155</wp:posOffset>
          </wp:positionH>
          <wp:positionV relativeFrom="paragraph">
            <wp:posOffset>120650</wp:posOffset>
          </wp:positionV>
          <wp:extent cx="647700" cy="552450"/>
          <wp:effectExtent l="0" t="0" r="0" b="0"/>
          <wp:wrapTight wrapText="bothSides">
            <wp:wrapPolygon edited="0">
              <wp:start x="0" y="0"/>
              <wp:lineTo x="0" y="20855"/>
              <wp:lineTo x="20965" y="20855"/>
              <wp:lineTo x="20965" y="0"/>
              <wp:lineTo x="0" y="0"/>
            </wp:wrapPolygon>
          </wp:wrapTight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11065" w:rsidRPr="00EA4DD3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8E463E0" wp14:editId="5FB54A0D">
              <wp:simplePos x="0" y="0"/>
              <wp:positionH relativeFrom="column">
                <wp:posOffset>5715607</wp:posOffset>
              </wp:positionH>
              <wp:positionV relativeFrom="paragraph">
                <wp:posOffset>693807</wp:posOffset>
              </wp:positionV>
              <wp:extent cx="3919855" cy="1404620"/>
              <wp:effectExtent l="0" t="0" r="23495" b="15875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1985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D57CE" w14:textId="409E31FA" w:rsidR="00111065" w:rsidRPr="00EA4DD3" w:rsidRDefault="00111065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EA4DD3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Príloha č. 2 výzvy - Špecifikácia oprávnenej aktivity a oprávnených výdavkov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8E463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50.05pt;margin-top:54.65pt;width:308.6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">
              <v:textbox style="mso-fit-shape-to-text:t">
                <w:txbxContent>
                  <w:p w14:paraId="1D9D57CE" w14:textId="409E31FA" w:rsidR="00111065" w:rsidRPr="00EA4DD3" w:rsidRDefault="00111065">
                    <w:pPr>
                      <w:rPr>
                        <w:i/>
                        <w:iCs/>
                        <w:sz w:val="18"/>
                        <w:szCs w:val="18"/>
                      </w:rPr>
                    </w:pPr>
                    <w:r w:rsidRPr="00EA4DD3">
                      <w:rPr>
                        <w:i/>
                        <w:iCs/>
                        <w:sz w:val="18"/>
                        <w:szCs w:val="18"/>
                      </w:rPr>
                      <w:t>Príloha č. 2 výzvy - Špecifikácia oprávnenej aktivity a oprávnených výdavkov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F71A8" w14:textId="77777777" w:rsidR="00BB411F" w:rsidRDefault="006474EE">
    <w:r>
      <w:c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B3825" w14:textId="77777777" w:rsidR="00A76425" w:rsidRPr="001B5DCB" w:rsidRDefault="00A76425" w:rsidP="00437D96">
    <w:pPr>
      <w:pStyle w:val="Zhlav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96"/>
    <w:rsid w:val="000309C2"/>
    <w:rsid w:val="00040D95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1065"/>
    <w:rsid w:val="00113C2C"/>
    <w:rsid w:val="00114544"/>
    <w:rsid w:val="001334FC"/>
    <w:rsid w:val="00152DA2"/>
    <w:rsid w:val="00156322"/>
    <w:rsid w:val="001663AC"/>
    <w:rsid w:val="00167CDE"/>
    <w:rsid w:val="001770B0"/>
    <w:rsid w:val="001A66A4"/>
    <w:rsid w:val="001B3128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A78DE"/>
    <w:rsid w:val="003B35C1"/>
    <w:rsid w:val="003C7984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E0696"/>
    <w:rsid w:val="00507295"/>
    <w:rsid w:val="00512F6F"/>
    <w:rsid w:val="005265E1"/>
    <w:rsid w:val="005414AD"/>
    <w:rsid w:val="00545CDC"/>
    <w:rsid w:val="00570FF5"/>
    <w:rsid w:val="005815ED"/>
    <w:rsid w:val="005A67D1"/>
    <w:rsid w:val="005E412A"/>
    <w:rsid w:val="005E60EB"/>
    <w:rsid w:val="00611FED"/>
    <w:rsid w:val="006474EE"/>
    <w:rsid w:val="006B0EE2"/>
    <w:rsid w:val="006C0D2C"/>
    <w:rsid w:val="006C7EC4"/>
    <w:rsid w:val="006E0BA1"/>
    <w:rsid w:val="00707EA7"/>
    <w:rsid w:val="007178B7"/>
    <w:rsid w:val="00722D6C"/>
    <w:rsid w:val="00732593"/>
    <w:rsid w:val="007414E3"/>
    <w:rsid w:val="007723AE"/>
    <w:rsid w:val="00773273"/>
    <w:rsid w:val="007900C1"/>
    <w:rsid w:val="00791038"/>
    <w:rsid w:val="00796060"/>
    <w:rsid w:val="007A1D28"/>
    <w:rsid w:val="007C197A"/>
    <w:rsid w:val="007C283F"/>
    <w:rsid w:val="008563D7"/>
    <w:rsid w:val="00856D01"/>
    <w:rsid w:val="008756EC"/>
    <w:rsid w:val="00880DAE"/>
    <w:rsid w:val="00884FC7"/>
    <w:rsid w:val="00895F57"/>
    <w:rsid w:val="008A21BF"/>
    <w:rsid w:val="00910377"/>
    <w:rsid w:val="009145CC"/>
    <w:rsid w:val="00924CB1"/>
    <w:rsid w:val="00930E0B"/>
    <w:rsid w:val="00937035"/>
    <w:rsid w:val="009662B4"/>
    <w:rsid w:val="009670EF"/>
    <w:rsid w:val="009748FA"/>
    <w:rsid w:val="00985014"/>
    <w:rsid w:val="00991D6C"/>
    <w:rsid w:val="009A1FA7"/>
    <w:rsid w:val="009A5787"/>
    <w:rsid w:val="009B0208"/>
    <w:rsid w:val="009B5779"/>
    <w:rsid w:val="009D7016"/>
    <w:rsid w:val="009D7623"/>
    <w:rsid w:val="00A0441A"/>
    <w:rsid w:val="00A24C10"/>
    <w:rsid w:val="00A76425"/>
    <w:rsid w:val="00A83CB5"/>
    <w:rsid w:val="00A92579"/>
    <w:rsid w:val="00A9551A"/>
    <w:rsid w:val="00AD3328"/>
    <w:rsid w:val="00B0092A"/>
    <w:rsid w:val="00B24ED0"/>
    <w:rsid w:val="00B46148"/>
    <w:rsid w:val="00B505EC"/>
    <w:rsid w:val="00B71DF5"/>
    <w:rsid w:val="00B73919"/>
    <w:rsid w:val="00B7415C"/>
    <w:rsid w:val="00B9191A"/>
    <w:rsid w:val="00B97C29"/>
    <w:rsid w:val="00BA25DC"/>
    <w:rsid w:val="00BA4EB1"/>
    <w:rsid w:val="00BB411F"/>
    <w:rsid w:val="00C5135E"/>
    <w:rsid w:val="00CA3F91"/>
    <w:rsid w:val="00CC5DB8"/>
    <w:rsid w:val="00CD4576"/>
    <w:rsid w:val="00D27547"/>
    <w:rsid w:val="00D30727"/>
    <w:rsid w:val="00D37BAE"/>
    <w:rsid w:val="00D4450F"/>
    <w:rsid w:val="00D76D93"/>
    <w:rsid w:val="00D80A8E"/>
    <w:rsid w:val="00DA2EC4"/>
    <w:rsid w:val="00DB1DC3"/>
    <w:rsid w:val="00DD6BA2"/>
    <w:rsid w:val="00E10467"/>
    <w:rsid w:val="00E1797A"/>
    <w:rsid w:val="00E20668"/>
    <w:rsid w:val="00E25773"/>
    <w:rsid w:val="00E50D85"/>
    <w:rsid w:val="00E64C0E"/>
    <w:rsid w:val="00E818C1"/>
    <w:rsid w:val="00E97118"/>
    <w:rsid w:val="00EA4DD3"/>
    <w:rsid w:val="00ED21AB"/>
    <w:rsid w:val="00EF0474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812FD"/>
  <w15:docId w15:val="{41795545-C3D3-4CBF-AC97-635F6C7A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Zhlav">
    <w:name w:val="header"/>
    <w:basedOn w:val="Normln"/>
    <w:link w:val="Zhlav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pod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"/>
    <w:link w:val="TextpoznpodarouChar"/>
    <w:uiPriority w:val="99"/>
    <w:semiHidden/>
    <w:rsid w:val="007900C1"/>
    <w:rPr>
      <w:sz w:val="18"/>
    </w:rPr>
  </w:style>
  <w:style w:type="character" w:customStyle="1" w:styleId="TextpoznpodarouChar">
    <w:name w:val="Text pozn. pod č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Standardnpsmoodstavce"/>
    <w:link w:val="Textpoznpod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nky">
    <w:name w:val="page number"/>
    <w:basedOn w:val="Standardnpsmoodstavce"/>
    <w:semiHidden/>
    <w:rsid w:val="007900C1"/>
    <w:rPr>
      <w:sz w:val="22"/>
    </w:rPr>
  </w:style>
  <w:style w:type="paragraph" w:styleId="Odstavecseseznamem">
    <w:name w:val="List Paragraph"/>
    <w:aliases w:val="body,Odsek zoznamu2,List Paragraph,Listenabsatz"/>
    <w:basedOn w:val="Normln"/>
    <w:link w:val="OdstavecseseznamemChar"/>
    <w:uiPriority w:val="34"/>
    <w:qFormat/>
    <w:rsid w:val="007900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900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00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katabulky">
    <w:name w:val="Table Grid"/>
    <w:basedOn w:val="Normlntabul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tavecseseznamemChar">
    <w:name w:val="Odstavec se seznamem Char"/>
    <w:aliases w:val="body Char,Odsek zoznamu2 Char,List Paragraph Char,Listenabsatz Char"/>
    <w:link w:val="Odstavecseseznamem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7900C1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D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mezer">
    <w:name w:val="No Spacing"/>
    <w:link w:val="Bezmezer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Standardnpsmoodstavce"/>
    <w:rsid w:val="009D7016"/>
  </w:style>
  <w:style w:type="character" w:styleId="Zdraznn">
    <w:name w:val="Emphasis"/>
    <w:basedOn w:val="Standardnpsmoodstavce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tabul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web">
    <w:name w:val="Normal (Web)"/>
    <w:basedOn w:val="Normln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jpeg"/><Relationship Id="rId1" Type="http://schemas.openxmlformats.org/officeDocument/2006/relationships/image" Target="media/image6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41F32-3156-4167-9726-22525027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Príloha č. 2 výzvy - Špecifikácia oprávnenej aktivity a oprávnených výdavkov</vt:lpstr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2 výzvy - Špecifikácia oprávnenej aktivity a oprávnených výdavkov</dc:title>
  <dc:subject/>
  <dc:creator>RO</dc:creator>
  <cp:keywords/>
  <cp:lastModifiedBy>Iveta Horvatová</cp:lastModifiedBy>
  <cp:revision>2</cp:revision>
  <dcterms:created xsi:type="dcterms:W3CDTF">2021-04-07T10:16:00Z</dcterms:created>
  <dcterms:modified xsi:type="dcterms:W3CDTF">2021-04-07T10:16:00Z</dcterms:modified>
</cp:coreProperties>
</file>