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EC11BD6" w:rsidR="00997F82" w:rsidRPr="003C2452" w:rsidRDefault="00327CFB"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8EFADF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327CFB">
        <w:rPr>
          <w:rFonts w:ascii="Arial" w:eastAsia="Times New Roman" w:hAnsi="Arial" w:cs="Arial"/>
          <w:sz w:val="28"/>
          <w:szCs w:val="20"/>
        </w:rPr>
        <w:t>Q002</w:t>
      </w:r>
      <w:r w:rsidRPr="00C13613">
        <w:rPr>
          <w:rFonts w:ascii="Arial" w:eastAsia="Times New Roman" w:hAnsi="Arial" w:cs="Arial"/>
          <w:sz w:val="28"/>
          <w:szCs w:val="20"/>
        </w:rPr>
        <w:t>-</w:t>
      </w:r>
      <w:r w:rsidR="00327CFB">
        <w:rPr>
          <w:rFonts w:ascii="Arial" w:eastAsia="Times New Roman" w:hAnsi="Arial" w:cs="Arial"/>
          <w:sz w:val="28"/>
          <w:szCs w:val="20"/>
        </w:rPr>
        <w:t>512</w:t>
      </w:r>
      <w:r w:rsidRPr="00C13613">
        <w:rPr>
          <w:rFonts w:ascii="Arial" w:eastAsia="Times New Roman" w:hAnsi="Arial" w:cs="Arial"/>
          <w:sz w:val="28"/>
          <w:szCs w:val="20"/>
        </w:rPr>
        <w:t>-</w:t>
      </w:r>
      <w:r w:rsidR="00327CFB">
        <w:rPr>
          <w:rFonts w:ascii="Arial" w:eastAsia="Times New Roman" w:hAnsi="Arial" w:cs="Arial"/>
          <w:sz w:val="28"/>
          <w:szCs w:val="20"/>
        </w:rPr>
        <w:t>00</w:t>
      </w:r>
      <w:r w:rsidR="00B40CA1">
        <w:rPr>
          <w:rFonts w:ascii="Arial" w:eastAsia="Times New Roman" w:hAnsi="Arial" w:cs="Arial"/>
          <w:sz w:val="28"/>
          <w:szCs w:val="20"/>
        </w:rPr>
        <w:t>3</w:t>
      </w:r>
    </w:p>
    <w:p w14:paraId="2F052AC7" w14:textId="2B6CD310" w:rsidR="00997F82" w:rsidRDefault="00997F82" w:rsidP="00997F82">
      <w:pPr>
        <w:spacing w:after="0" w:line="240" w:lineRule="auto"/>
        <w:jc w:val="center"/>
        <w:rPr>
          <w:rFonts w:ascii="Arial" w:eastAsia="Times New Roman" w:hAnsi="Arial" w:cs="Arial"/>
          <w:color w:val="002060"/>
          <w:sz w:val="28"/>
          <w:szCs w:val="20"/>
        </w:rPr>
      </w:pPr>
    </w:p>
    <w:p w14:paraId="08E9E2D5" w14:textId="77777777" w:rsidR="00A26432" w:rsidRPr="00997F82" w:rsidRDefault="00A26432" w:rsidP="00997F82">
      <w:pPr>
        <w:spacing w:after="0" w:line="240" w:lineRule="auto"/>
        <w:jc w:val="center"/>
        <w:rPr>
          <w:rFonts w:ascii="Arial" w:eastAsia="Times New Roman" w:hAnsi="Arial" w:cs="Arial"/>
          <w:color w:val="002060"/>
          <w:sz w:val="28"/>
          <w:szCs w:val="20"/>
        </w:rPr>
      </w:pPr>
    </w:p>
    <w:p w14:paraId="4E401240" w14:textId="66DC6435" w:rsidR="00A26432" w:rsidRPr="002A5CC3" w:rsidRDefault="00A26432" w:rsidP="00A26432">
      <w:pPr>
        <w:jc w:val="center"/>
        <w:rPr>
          <w:rFonts w:ascii="Arial" w:eastAsia="Times New Roman" w:hAnsi="Arial" w:cs="Arial"/>
          <w:b/>
          <w:sz w:val="28"/>
          <w:szCs w:val="20"/>
        </w:rPr>
      </w:pPr>
      <w:r w:rsidRPr="00A26432">
        <w:rPr>
          <w:rFonts w:ascii="Arial" w:eastAsia="Times New Roman" w:hAnsi="Arial" w:cs="Arial"/>
          <w:b/>
          <w:sz w:val="28"/>
          <w:szCs w:val="20"/>
        </w:rPr>
        <w:t xml:space="preserve"> </w:t>
      </w:r>
      <w:r>
        <w:rPr>
          <w:rFonts w:ascii="Arial" w:eastAsia="Times New Roman" w:hAnsi="Arial" w:cs="Arial"/>
          <w:b/>
          <w:sz w:val="28"/>
          <w:szCs w:val="20"/>
        </w:rPr>
        <w:t>v znení aktualizácie č.</w:t>
      </w:r>
      <w:r w:rsidR="00686DC9">
        <w:rPr>
          <w:rFonts w:ascii="Arial" w:eastAsia="Times New Roman" w:hAnsi="Arial" w:cs="Arial"/>
          <w:b/>
          <w:sz w:val="28"/>
          <w:szCs w:val="20"/>
        </w:rPr>
        <w:t>2</w:t>
      </w:r>
    </w:p>
    <w:p w14:paraId="6BD1E6A3" w14:textId="52733F96" w:rsidR="00997F82" w:rsidRDefault="00997F82" w:rsidP="003B182C">
      <w:pPr>
        <w:jc w:val="center"/>
        <w:rPr>
          <w:rFonts w:ascii="Arial" w:eastAsia="Times New Roman" w:hAnsi="Arial" w:cs="Arial"/>
          <w:sz w:val="22"/>
        </w:rPr>
      </w:pPr>
    </w:p>
    <w:p w14:paraId="2A5B3D54" w14:textId="0C17C87C" w:rsidR="00C035C3" w:rsidRDefault="00C035C3" w:rsidP="003B182C">
      <w:pPr>
        <w:jc w:val="center"/>
        <w:rPr>
          <w:rFonts w:ascii="Arial" w:eastAsia="Times New Roman" w:hAnsi="Arial" w:cs="Arial"/>
          <w:sz w:val="22"/>
        </w:rPr>
      </w:pPr>
    </w:p>
    <w:p w14:paraId="0772FB9E" w14:textId="35E4FC3A" w:rsidR="00C035C3" w:rsidRDefault="00C035C3" w:rsidP="003B182C">
      <w:pPr>
        <w:jc w:val="center"/>
        <w:rPr>
          <w:rFonts w:ascii="Arial" w:eastAsia="Times New Roman" w:hAnsi="Arial" w:cs="Arial"/>
          <w:sz w:val="22"/>
        </w:rPr>
      </w:pPr>
    </w:p>
    <w:p w14:paraId="2CAD18B6" w14:textId="0CA73B05" w:rsidR="00C035C3" w:rsidRDefault="00C035C3" w:rsidP="003B182C">
      <w:pPr>
        <w:jc w:val="center"/>
        <w:rPr>
          <w:rFonts w:ascii="Arial" w:eastAsia="Times New Roman" w:hAnsi="Arial" w:cs="Arial"/>
          <w:sz w:val="22"/>
        </w:rPr>
      </w:pPr>
    </w:p>
    <w:p w14:paraId="068FF2C8" w14:textId="379A0C40" w:rsidR="00C035C3" w:rsidRDefault="00C035C3" w:rsidP="00224BA7">
      <w:pPr>
        <w:rPr>
          <w:rFonts w:ascii="Arial" w:eastAsia="Times New Roman" w:hAnsi="Arial" w:cs="Arial"/>
          <w:sz w:val="22"/>
        </w:rPr>
      </w:pPr>
    </w:p>
    <w:p w14:paraId="2BD4B39D" w14:textId="6E76C609" w:rsidR="00C035C3" w:rsidRDefault="00C035C3" w:rsidP="00224BA7">
      <w:pPr>
        <w:rPr>
          <w:rFonts w:ascii="Arial" w:eastAsia="Times New Roman" w:hAnsi="Arial" w:cs="Arial"/>
          <w:sz w:val="22"/>
        </w:rPr>
      </w:pPr>
    </w:p>
    <w:p w14:paraId="5D984227" w14:textId="5FB468CE" w:rsidR="00C035C3" w:rsidRDefault="00C035C3" w:rsidP="00224BA7">
      <w:pPr>
        <w:rPr>
          <w:rFonts w:ascii="Arial" w:eastAsia="Times New Roman" w:hAnsi="Arial" w:cs="Arial"/>
          <w:sz w:val="22"/>
        </w:rPr>
      </w:pPr>
    </w:p>
    <w:p w14:paraId="272593A2" w14:textId="6FCDA5F6" w:rsidR="00C035C3" w:rsidRDefault="00C035C3" w:rsidP="00224BA7">
      <w:pPr>
        <w:rPr>
          <w:rFonts w:ascii="Arial" w:eastAsia="Times New Roman" w:hAnsi="Arial" w:cs="Arial"/>
          <w:sz w:val="22"/>
        </w:rPr>
      </w:pPr>
    </w:p>
    <w:p w14:paraId="3F64CF18" w14:textId="7979FBDB" w:rsidR="00C035C3" w:rsidRDefault="00C035C3" w:rsidP="00224BA7">
      <w:pPr>
        <w:rPr>
          <w:rFonts w:ascii="Arial" w:eastAsia="Times New Roman" w:hAnsi="Arial" w:cs="Arial"/>
          <w:sz w:val="22"/>
        </w:rPr>
      </w:pPr>
      <w:r>
        <w:rPr>
          <w:rFonts w:ascii="Arial" w:eastAsia="Times New Roman" w:hAnsi="Arial" w:cs="Arial"/>
          <w:sz w:val="22"/>
        </w:rPr>
        <w:t xml:space="preserve">Dátum vydania aktualizácie: </w:t>
      </w:r>
      <w:r w:rsidR="00224BA7">
        <w:rPr>
          <w:rFonts w:ascii="Arial" w:eastAsia="Times New Roman" w:hAnsi="Arial" w:cs="Arial"/>
          <w:sz w:val="22"/>
        </w:rPr>
        <w:t xml:space="preserve"> </w:t>
      </w:r>
      <w:r>
        <w:rPr>
          <w:rFonts w:ascii="Arial" w:eastAsia="Times New Roman" w:hAnsi="Arial" w:cs="Arial"/>
          <w:sz w:val="22"/>
        </w:rPr>
        <w:t xml:space="preserve">  </w:t>
      </w:r>
      <w:r w:rsidR="00B049ED">
        <w:rPr>
          <w:rFonts w:ascii="Arial" w:eastAsia="Times New Roman" w:hAnsi="Arial" w:cs="Arial"/>
          <w:sz w:val="22"/>
        </w:rPr>
        <w:t>20</w:t>
      </w:r>
      <w:r w:rsidR="00CB3F8E">
        <w:rPr>
          <w:rFonts w:ascii="Arial" w:eastAsia="Times New Roman" w:hAnsi="Arial" w:cs="Arial"/>
          <w:sz w:val="22"/>
        </w:rPr>
        <w:t>.04</w:t>
      </w:r>
      <w:r>
        <w:rPr>
          <w:rFonts w:ascii="Arial" w:eastAsia="Times New Roman" w:hAnsi="Arial" w:cs="Arial"/>
          <w:sz w:val="22"/>
        </w:rPr>
        <w:t>.2023</w:t>
      </w:r>
    </w:p>
    <w:p w14:paraId="000F15F0" w14:textId="57BFF73E" w:rsidR="00C035C3" w:rsidRPr="00CE7126" w:rsidRDefault="00C035C3" w:rsidP="00224BA7">
      <w:pPr>
        <w:rPr>
          <w:rFonts w:ascii="Arial" w:eastAsia="Times New Roman" w:hAnsi="Arial" w:cs="Arial"/>
          <w:sz w:val="22"/>
        </w:rPr>
      </w:pPr>
      <w:r>
        <w:rPr>
          <w:rFonts w:ascii="Arial" w:eastAsia="Times New Roman" w:hAnsi="Arial" w:cs="Arial"/>
          <w:sz w:val="22"/>
        </w:rPr>
        <w:t xml:space="preserve">Dátum účinnosti aktualizácie:  </w:t>
      </w:r>
      <w:r w:rsidR="00CB3F8E">
        <w:rPr>
          <w:rFonts w:ascii="Arial" w:eastAsia="Times New Roman" w:hAnsi="Arial" w:cs="Arial"/>
          <w:sz w:val="22"/>
        </w:rPr>
        <w:t>02.05</w:t>
      </w:r>
      <w:r w:rsidR="00224BA7">
        <w:rPr>
          <w:rFonts w:ascii="Arial" w:eastAsia="Times New Roman" w:hAnsi="Arial" w:cs="Arial"/>
          <w:sz w:val="22"/>
        </w:rPr>
        <w:t>.2023</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2BB96E4A" w14:textId="0CE8E49F" w:rsidR="004F5A36" w:rsidRPr="004F5A36" w:rsidRDefault="004F5A36" w:rsidP="004F5A36">
      <w:pPr>
        <w:tabs>
          <w:tab w:val="left" w:pos="2268"/>
        </w:tabs>
        <w:spacing w:before="240" w:after="120" w:line="240" w:lineRule="auto"/>
        <w:ind w:left="2268" w:hanging="2268"/>
        <w:jc w:val="both"/>
        <w:rPr>
          <w:rFonts w:ascii="Arial" w:hAnsi="Arial" w:cs="Arial"/>
          <w:b/>
          <w:sz w:val="22"/>
        </w:rPr>
      </w:pPr>
      <w:r w:rsidRPr="004F5A36">
        <w:rPr>
          <w:rFonts w:ascii="Arial" w:hAnsi="Arial" w:cs="Arial"/>
          <w:b/>
          <w:sz w:val="22"/>
        </w:rPr>
        <w:t>Špecifický cieľ:</w:t>
      </w:r>
      <w:r w:rsidRPr="004F5A36">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B88A1D0CBABF41EDB246F8D8021F3EAE"/>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EE4585">
            <w:rPr>
              <w:rFonts w:ascii="Arial" w:hAnsi="Arial" w:cs="Arial"/>
              <w:b/>
              <w:sz w:val="22"/>
            </w:rPr>
            <w:t>5.1.2 Zlepšenie udržateľných vzťahov medzi vidieckymi rozvojovými centrami a ich zázemím vo verejných službách a vo verejných infraštruktúrach</w:t>
          </w:r>
        </w:sdtContent>
      </w:sdt>
    </w:p>
    <w:p w14:paraId="266737C6" w14:textId="061A8E57" w:rsidR="00997F82" w:rsidRPr="009B3DD7" w:rsidRDefault="004F5A36" w:rsidP="00DD3EE2">
      <w:pPr>
        <w:tabs>
          <w:tab w:val="left" w:pos="2268"/>
        </w:tabs>
        <w:spacing w:before="240" w:after="120" w:line="240" w:lineRule="auto"/>
        <w:ind w:left="2268" w:hanging="2268"/>
        <w:jc w:val="both"/>
        <w:rPr>
          <w:rFonts w:ascii="Arial" w:hAnsi="Arial" w:cs="Arial"/>
          <w:sz w:val="22"/>
        </w:rPr>
      </w:pPr>
      <w:r w:rsidRPr="009B3DD7" w:rsidDel="004F5A36">
        <w:rPr>
          <w:rFonts w:ascii="Arial" w:hAnsi="Arial" w:cs="Arial"/>
          <w:b/>
          <w:sz w:val="22"/>
        </w:rPr>
        <w:t xml:space="preserve"> </w:t>
      </w:r>
      <w:r w:rsidR="00997F82" w:rsidRPr="009B3DD7">
        <w:rPr>
          <w:rFonts w:ascii="Arial" w:hAnsi="Arial" w:cs="Arial"/>
          <w:b/>
          <w:sz w:val="22"/>
        </w:rPr>
        <w:t>Aktivita:</w:t>
      </w:r>
      <w:r w:rsidR="00997F82"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27CFB">
            <w:rPr>
              <w:rFonts w:ascii="Arial" w:hAnsi="Arial" w:cs="Arial"/>
              <w:sz w:val="22"/>
            </w:rPr>
            <w:t>B2 Zvyšovanie bezpečnosti a dostupnosti sídiel</w:t>
          </w:r>
        </w:sdtContent>
      </w:sdt>
    </w:p>
    <w:p w14:paraId="60D37D52" w14:textId="11AE95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327CFB">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AD729B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27CFB">
        <w:rPr>
          <w:rFonts w:ascii="Arial" w:hAnsi="Arial" w:cs="Arial"/>
          <w:i/>
          <w:sz w:val="22"/>
        </w:rPr>
        <w:t>Občianske združenie Dukla</w:t>
      </w:r>
      <w:r w:rsidRPr="00B50BAE">
        <w:rPr>
          <w:rFonts w:ascii="Arial" w:hAnsi="Arial" w:cs="Arial"/>
          <w:sz w:val="22"/>
        </w:rPr>
        <w:t xml:space="preserve"> </w:t>
      </w:r>
    </w:p>
    <w:p w14:paraId="5C40D1B0" w14:textId="0B682E8C"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27CFB">
        <w:rPr>
          <w:rFonts w:ascii="Arial" w:hAnsi="Arial" w:cs="Arial"/>
          <w:i/>
          <w:sz w:val="22"/>
        </w:rPr>
        <w:t>Kružlová 8</w:t>
      </w:r>
    </w:p>
    <w:p w14:paraId="3DB92461" w14:textId="2AFE321C" w:rsidR="00997F82" w:rsidRPr="005467E6"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685E8E" w:rsidRPr="00685E8E">
        <w:rPr>
          <w:rFonts w:ascii="Arial" w:hAnsi="Arial" w:cs="Arial"/>
          <w:i/>
          <w:sz w:val="22"/>
        </w:rPr>
        <w:t xml:space="preserve">090 02 </w:t>
      </w:r>
      <w:r w:rsidR="00327CFB" w:rsidRPr="005467E6">
        <w:rPr>
          <w:rFonts w:ascii="Arial" w:hAnsi="Arial" w:cs="Arial"/>
          <w:i/>
          <w:sz w:val="22"/>
        </w:rPr>
        <w:t>Kružlová</w:t>
      </w:r>
    </w:p>
    <w:p w14:paraId="02B5761B" w14:textId="2C74A26B" w:rsidR="00997F82" w:rsidRPr="00B50BAE" w:rsidRDefault="00997F82" w:rsidP="00DD3EE2">
      <w:pPr>
        <w:tabs>
          <w:tab w:val="left" w:pos="1418"/>
        </w:tabs>
        <w:spacing w:before="120" w:after="120" w:line="240" w:lineRule="auto"/>
        <w:rPr>
          <w:rFonts w:ascii="Arial" w:hAnsi="Arial" w:cs="Arial"/>
          <w:i/>
          <w:sz w:val="22"/>
          <w:highlight w:val="yellow"/>
        </w:rPr>
      </w:pPr>
      <w:r w:rsidRPr="005467E6">
        <w:rPr>
          <w:rFonts w:ascii="Arial" w:hAnsi="Arial" w:cs="Arial"/>
          <w:i/>
          <w:sz w:val="22"/>
        </w:rPr>
        <w:tab/>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135A98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EE4585" w:rsidRPr="00643FD0">
            <w:rPr>
              <w:rFonts w:ascii="Arial" w:hAnsi="Arial" w:cs="Arial"/>
              <w:sz w:val="22"/>
            </w:rPr>
            <w:t>21. 4. 2020</w:t>
          </w:r>
        </w:sdtContent>
      </w:sdt>
    </w:p>
    <w:p w14:paraId="532ABE8D" w14:textId="0109533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27CFB" w:rsidRPr="00327CFB">
          <w:rPr>
            <w:rStyle w:val="Hypertextovprepojenie"/>
            <w:rFonts w:cs="Arial"/>
            <w:sz w:val="22"/>
          </w:rPr>
          <w:t>http://masdukla.sk/index.php/vyzvy/vyzvy-irop</w:t>
        </w:r>
      </w:hyperlink>
      <w:r w:rsidR="00327CFB">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EE4585"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E4E68A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327CFB">
        <w:rPr>
          <w:rFonts w:ascii="Arial" w:hAnsi="Arial" w:cs="Arial"/>
          <w:b/>
          <w:sz w:val="22"/>
        </w:rPr>
        <w:t xml:space="preserve">175.000,00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3F0A4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E80469">
        <w:rPr>
          <w:sz w:val="22"/>
          <w:szCs w:val="22"/>
        </w:rPr>
        <w:t> žiadostiach o poskytnutie príspevku (ďalej aj</w:t>
      </w:r>
      <w:r>
        <w:rPr>
          <w:sz w:val="22"/>
          <w:szCs w:val="22"/>
        </w:rPr>
        <w:t> </w:t>
      </w:r>
      <w:r w:rsidR="00E80469">
        <w:rPr>
          <w:sz w:val="22"/>
          <w:szCs w:val="22"/>
        </w:rPr>
        <w:t>„</w:t>
      </w:r>
      <w:r>
        <w:rPr>
          <w:sz w:val="22"/>
          <w:szCs w:val="22"/>
        </w:rPr>
        <w:t>ŽoPr</w:t>
      </w:r>
      <w:r w:rsidR="00E80469">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2D2BF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27CF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327CFB">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33ECFE0A"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5DCA9822" w:rsidR="00997F82" w:rsidRPr="0027155D"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997F82" w:rsidRPr="0027155D" w14:paraId="18049F63" w14:textId="77777777" w:rsidTr="00687273">
        <w:tc>
          <w:tcPr>
            <w:tcW w:w="3070" w:type="dxa"/>
            <w:vAlign w:val="center"/>
          </w:tcPr>
          <w:p w14:paraId="71B31EE8" w14:textId="1D2487B3"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21.07</w:t>
            </w:r>
            <w:r w:rsidR="00327CFB" w:rsidRPr="00643FD0">
              <w:rPr>
                <w:rFonts w:ascii="Arial" w:hAnsi="Arial" w:cs="Arial"/>
                <w:sz w:val="20"/>
                <w:szCs w:val="20"/>
              </w:rPr>
              <w:t>.2020</w:t>
            </w:r>
          </w:p>
        </w:tc>
        <w:tc>
          <w:tcPr>
            <w:tcW w:w="3070" w:type="dxa"/>
            <w:vAlign w:val="center"/>
          </w:tcPr>
          <w:p w14:paraId="7FB5A443" w14:textId="7F7572A4"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21.10.2</w:t>
            </w:r>
            <w:r w:rsidR="00327CFB" w:rsidRPr="00643FD0">
              <w:rPr>
                <w:rFonts w:ascii="Arial" w:hAnsi="Arial" w:cs="Arial"/>
                <w:sz w:val="20"/>
                <w:szCs w:val="20"/>
              </w:rPr>
              <w:t>020</w:t>
            </w:r>
          </w:p>
        </w:tc>
        <w:tc>
          <w:tcPr>
            <w:tcW w:w="3494" w:type="dxa"/>
          </w:tcPr>
          <w:p w14:paraId="766B9373" w14:textId="4F842B5B" w:rsidR="00997F82"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21.01.2021</w:t>
            </w:r>
          </w:p>
        </w:tc>
      </w:tr>
      <w:tr w:rsidR="00BA682A" w:rsidRPr="0027155D" w14:paraId="1D3A7CEE" w14:textId="77777777" w:rsidTr="00687273">
        <w:tc>
          <w:tcPr>
            <w:tcW w:w="3070" w:type="dxa"/>
            <w:vAlign w:val="center"/>
          </w:tcPr>
          <w:p w14:paraId="47BB2372" w14:textId="5D7B7830"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714B95D7" w14:textId="338D8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494" w:type="dxa"/>
          </w:tcPr>
          <w:p w14:paraId="7BC0599B" w14:textId="1D26211F"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BA682A" w:rsidRPr="0027155D" w14:paraId="1A6A9149" w14:textId="77777777" w:rsidTr="00687273">
        <w:tc>
          <w:tcPr>
            <w:tcW w:w="3070" w:type="dxa"/>
            <w:vAlign w:val="center"/>
          </w:tcPr>
          <w:p w14:paraId="4C24228F" w14:textId="32E42753"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21.04.2021</w:t>
            </w:r>
          </w:p>
        </w:tc>
        <w:tc>
          <w:tcPr>
            <w:tcW w:w="3070" w:type="dxa"/>
            <w:vAlign w:val="center"/>
          </w:tcPr>
          <w:p w14:paraId="214E94E7" w14:textId="6D825105"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21.07.2021</w:t>
            </w:r>
          </w:p>
        </w:tc>
        <w:tc>
          <w:tcPr>
            <w:tcW w:w="3494" w:type="dxa"/>
          </w:tcPr>
          <w:p w14:paraId="5EB32A4C" w14:textId="06A79991"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21.10.2021</w:t>
            </w:r>
          </w:p>
        </w:tc>
      </w:tr>
      <w:tr w:rsidR="00BA682A" w:rsidRPr="0027155D" w14:paraId="0D2A57FC" w14:textId="77777777" w:rsidTr="00687273">
        <w:tc>
          <w:tcPr>
            <w:tcW w:w="3070" w:type="dxa"/>
            <w:vAlign w:val="center"/>
          </w:tcPr>
          <w:p w14:paraId="58B1A218" w14:textId="24D50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vAlign w:val="center"/>
          </w:tcPr>
          <w:p w14:paraId="31A46AD4" w14:textId="19C02F29"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tcPr>
          <w:p w14:paraId="0BA32760" w14:textId="1ECE754E"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BA682A" w:rsidRPr="0027155D" w14:paraId="00EAA879" w14:textId="77777777" w:rsidTr="00687273">
        <w:tc>
          <w:tcPr>
            <w:tcW w:w="3070" w:type="dxa"/>
            <w:vAlign w:val="center"/>
          </w:tcPr>
          <w:p w14:paraId="7D7EF0F9" w14:textId="7CA7ACBA"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21.01.2022</w:t>
            </w:r>
          </w:p>
        </w:tc>
        <w:tc>
          <w:tcPr>
            <w:tcW w:w="3070" w:type="dxa"/>
            <w:vAlign w:val="center"/>
          </w:tcPr>
          <w:p w14:paraId="09EF8203" w14:textId="4EA754EB"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21.04.2022</w:t>
            </w:r>
          </w:p>
        </w:tc>
        <w:tc>
          <w:tcPr>
            <w:tcW w:w="3494" w:type="dxa"/>
          </w:tcPr>
          <w:p w14:paraId="445B62D0" w14:textId="2DA68BF9"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21.07.2022</w:t>
            </w:r>
          </w:p>
        </w:tc>
      </w:tr>
      <w:tr w:rsidR="008161CF" w:rsidRPr="0027155D" w14:paraId="2102E06F" w14:textId="77777777" w:rsidTr="00687273">
        <w:tc>
          <w:tcPr>
            <w:tcW w:w="3070" w:type="dxa"/>
            <w:vAlign w:val="center"/>
          </w:tcPr>
          <w:p w14:paraId="7FA86B6A" w14:textId="7E402F6A"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3070" w:type="dxa"/>
            <w:vAlign w:val="center"/>
          </w:tcPr>
          <w:p w14:paraId="7B2DB592" w14:textId="20DE0B39"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494" w:type="dxa"/>
          </w:tcPr>
          <w:p w14:paraId="239B89D1" w14:textId="11DA4160" w:rsidR="008161CF" w:rsidRPr="0027155D" w:rsidRDefault="00F100CA" w:rsidP="008161CF">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8161CF" w:rsidRPr="0027155D" w14:paraId="22DCFE7F" w14:textId="77777777" w:rsidTr="00687273">
        <w:tc>
          <w:tcPr>
            <w:tcW w:w="3070" w:type="dxa"/>
            <w:vAlign w:val="center"/>
          </w:tcPr>
          <w:p w14:paraId="691AEB67" w14:textId="49D95BF4"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21.10.2022</w:t>
            </w:r>
          </w:p>
        </w:tc>
        <w:tc>
          <w:tcPr>
            <w:tcW w:w="3070" w:type="dxa"/>
            <w:vAlign w:val="center"/>
          </w:tcPr>
          <w:p w14:paraId="48C5CEC5" w14:textId="030BB6A6"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21.01.2023</w:t>
            </w:r>
          </w:p>
        </w:tc>
        <w:tc>
          <w:tcPr>
            <w:tcW w:w="3494" w:type="dxa"/>
          </w:tcPr>
          <w:p w14:paraId="679A3B2C" w14:textId="4EE2D053" w:rsidR="008161CF" w:rsidRPr="0027155D" w:rsidRDefault="00C035C3" w:rsidP="008161CF">
            <w:pPr>
              <w:spacing w:before="60" w:after="60" w:line="240" w:lineRule="auto"/>
              <w:jc w:val="center"/>
              <w:outlineLvl w:val="0"/>
              <w:rPr>
                <w:rFonts w:ascii="Arial" w:hAnsi="Arial" w:cs="Arial"/>
                <w:sz w:val="20"/>
                <w:szCs w:val="20"/>
              </w:rPr>
            </w:pPr>
            <w:r>
              <w:rPr>
                <w:rFonts w:ascii="Arial" w:hAnsi="Arial" w:cs="Arial"/>
                <w:sz w:val="20"/>
                <w:szCs w:val="20"/>
              </w:rPr>
              <w:t>21.04</w:t>
            </w:r>
            <w:r w:rsidR="00F100CA">
              <w:rPr>
                <w:rFonts w:ascii="Arial" w:hAnsi="Arial" w:cs="Arial"/>
                <w:sz w:val="20"/>
                <w:szCs w:val="20"/>
              </w:rPr>
              <w:t>.2023</w:t>
            </w:r>
          </w:p>
        </w:tc>
      </w:tr>
      <w:tr w:rsidR="002B527B" w:rsidRPr="0027155D" w14:paraId="20207467" w14:textId="77777777" w:rsidTr="005761FD">
        <w:tc>
          <w:tcPr>
            <w:tcW w:w="3070" w:type="dxa"/>
          </w:tcPr>
          <w:p w14:paraId="4771C793" w14:textId="1C8034C7" w:rsidR="002B527B" w:rsidRPr="0027155D" w:rsidRDefault="002B527B" w:rsidP="002B527B">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6564" w:type="dxa"/>
            <w:gridSpan w:val="2"/>
          </w:tcPr>
          <w:p w14:paraId="6E7F2E4F" w14:textId="374A470F" w:rsidR="002B527B" w:rsidRPr="0027155D" w:rsidRDefault="002B527B" w:rsidP="002B527B">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2B527B" w:rsidRPr="0027155D" w14:paraId="05418CF7" w14:textId="77777777" w:rsidTr="005761FD">
        <w:tc>
          <w:tcPr>
            <w:tcW w:w="3070" w:type="dxa"/>
          </w:tcPr>
          <w:p w14:paraId="11E39DFB" w14:textId="08037A7D" w:rsidR="002B527B" w:rsidRDefault="002B527B" w:rsidP="002B527B">
            <w:pPr>
              <w:spacing w:before="60" w:after="60" w:line="240" w:lineRule="auto"/>
              <w:jc w:val="center"/>
              <w:outlineLvl w:val="0"/>
              <w:rPr>
                <w:rFonts w:ascii="Arial" w:hAnsi="Arial" w:cs="Arial"/>
                <w:sz w:val="20"/>
                <w:szCs w:val="20"/>
              </w:rPr>
            </w:pPr>
            <w:r>
              <w:rPr>
                <w:rFonts w:ascii="Arial" w:hAnsi="Arial" w:cs="Arial"/>
                <w:sz w:val="20"/>
                <w:szCs w:val="20"/>
              </w:rPr>
              <w:t>28.4.2023</w:t>
            </w:r>
          </w:p>
        </w:tc>
        <w:tc>
          <w:tcPr>
            <w:tcW w:w="6564" w:type="dxa"/>
            <w:gridSpan w:val="2"/>
          </w:tcPr>
          <w:p w14:paraId="08E2F0EE" w14:textId="2EF3634B" w:rsidR="002B527B" w:rsidRPr="0027155D" w:rsidRDefault="002B527B" w:rsidP="002B527B">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w:t>
            </w:r>
            <w:r w:rsidR="00B049ED">
              <w:rPr>
                <w:rFonts w:ascii="Arial" w:hAnsi="Arial" w:cs="Arial"/>
                <w:sz w:val="20"/>
                <w:szCs w:val="20"/>
              </w:rPr>
              <w:t>8</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467E6">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1038B1C"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62019">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lastRenderedPageBreak/>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5FFCA7EE"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sidR="00697BFC">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5EDAFEB" w14:textId="7AC351D7" w:rsidR="00997F82" w:rsidRPr="00C83715" w:rsidRDefault="00997F82" w:rsidP="00C83715">
            <w:pPr>
              <w:pStyle w:val="Odsekzoznamu"/>
              <w:spacing w:before="120" w:after="120" w:line="240" w:lineRule="auto"/>
              <w:ind w:left="85" w:right="85"/>
              <w:contextualSpacing w:val="0"/>
              <w:jc w:val="both"/>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00D05A50">
              <w:rPr>
                <w:rFonts w:ascii="Arial" w:hAnsi="Arial" w:cs="Arial"/>
                <w:bCs/>
                <w:sz w:val="20"/>
                <w:szCs w:val="20"/>
              </w:rPr>
              <w:t xml:space="preserve"> </w:t>
            </w:r>
            <w:r w:rsidRPr="00C63476">
              <w:rPr>
                <w:rFonts w:ascii="Arial" w:hAnsi="Arial" w:cs="Arial"/>
                <w:bCs/>
                <w:sz w:val="20"/>
                <w:szCs w:val="20"/>
              </w:rPr>
              <w:t xml:space="preserve">na webovom sídle </w:t>
            </w:r>
            <w:hyperlink r:id="rId10" w:history="1">
              <w:r w:rsidRPr="00C63476">
                <w:rPr>
                  <w:rStyle w:val="Hypertextovprepojenie"/>
                  <w:rFonts w:cs="Arial"/>
                  <w:bCs/>
                  <w:sz w:val="20"/>
                  <w:szCs w:val="20"/>
                </w:rPr>
                <w:t>https://rpo.statistics.sk</w:t>
              </w:r>
            </w:hyperlink>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233E7536"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1646D2">
              <w:rPr>
                <w:rFonts w:ascii="Arial" w:hAnsi="Arial" w:cs="Arial"/>
                <w:bCs/>
                <w:sz w:val="20"/>
                <w:szCs w:val="20"/>
              </w:rPr>
              <w:t>,</w:t>
            </w:r>
            <w:r w:rsidRPr="00D01EF0">
              <w:rPr>
                <w:rFonts w:ascii="Arial" w:hAnsi="Arial" w:cs="Arial"/>
                <w:bCs/>
                <w:sz w:val="20"/>
                <w:szCs w:val="20"/>
              </w:rPr>
              <w:t xml:space="preserve"> v časti </w:t>
            </w:r>
            <w:r w:rsidRPr="001856CF">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3D0F6A91" w14:textId="2E2368CB"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1646D2">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3B182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51D79E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w:t>
            </w:r>
            <w:r w:rsidR="003F2378">
              <w:rPr>
                <w:rFonts w:ascii="Arial" w:hAnsi="Arial" w:cs="Arial"/>
                <w:bCs/>
                <w:sz w:val="20"/>
                <w:szCs w:val="20"/>
              </w:rPr>
              <w:t xml:space="preserve"> najneskôr ku dňu predloženia ŽoPr</w:t>
            </w:r>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14EB4A6"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3F2378">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BC0A5E">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7B09788C" w:rsidR="00997F82" w:rsidRPr="005761FD" w:rsidRDefault="0030645D" w:rsidP="00CE2432">
            <w:pPr>
              <w:pStyle w:val="Odsekzoznamu"/>
              <w:widowControl w:val="0"/>
              <w:spacing w:before="120" w:after="120" w:line="240" w:lineRule="auto"/>
              <w:ind w:left="85" w:right="85"/>
              <w:contextualSpacing w:val="0"/>
              <w:jc w:val="both"/>
              <w:rPr>
                <w:rFonts w:ascii="Arial" w:hAnsi="Arial" w:cs="Arial"/>
                <w:sz w:val="20"/>
                <w:szCs w:val="20"/>
              </w:rPr>
            </w:pPr>
            <w:r>
              <w:rPr>
                <w:rFonts w:ascii="Arial" w:hAnsi="Arial" w:cs="Arial"/>
                <w:bCs/>
                <w:sz w:val="20"/>
                <w:szCs w:val="20"/>
              </w:rPr>
              <w:t>P</w:t>
            </w:r>
            <w:r w:rsidR="00997F82" w:rsidRPr="00BE7B8E">
              <w:rPr>
                <w:rFonts w:ascii="Arial" w:hAnsi="Arial" w:cs="Arial"/>
                <w:bCs/>
                <w:sz w:val="20"/>
                <w:szCs w:val="20"/>
              </w:rPr>
              <w:t>rojekt mus</w:t>
            </w:r>
            <w:r w:rsidR="001646D2">
              <w:rPr>
                <w:rFonts w:ascii="Arial" w:hAnsi="Arial" w:cs="Arial"/>
                <w:bCs/>
                <w:sz w:val="20"/>
                <w:szCs w:val="20"/>
              </w:rPr>
              <w:t>í</w:t>
            </w:r>
            <w:r w:rsidR="00997F82" w:rsidRPr="00BE7B8E">
              <w:rPr>
                <w:rFonts w:ascii="Arial" w:hAnsi="Arial" w:cs="Arial"/>
                <w:bCs/>
                <w:sz w:val="20"/>
                <w:szCs w:val="20"/>
              </w:rPr>
              <w:t xml:space="preserve"> byť vo vecnom súlade</w:t>
            </w:r>
            <w:r>
              <w:rPr>
                <w:rFonts w:ascii="Arial" w:hAnsi="Arial" w:cs="Arial"/>
                <w:bCs/>
                <w:sz w:val="20"/>
                <w:szCs w:val="20"/>
              </w:rPr>
              <w:t xml:space="preserve"> s aktivitou</w:t>
            </w:r>
            <w:r w:rsidR="00997F82" w:rsidRPr="00BE7B8E">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B24F9">
                  <w:rPr>
                    <w:rFonts w:ascii="Arial" w:hAnsi="Arial" w:cs="Arial"/>
                    <w:sz w:val="22"/>
                  </w:rPr>
                  <w:t>B2 Zvyšovanie bezpečnosti a dostupnosti sídiel</w:t>
                </w:r>
              </w:sdtContent>
            </w:sdt>
            <w:r w:rsidR="00CE2432">
              <w:rPr>
                <w:rFonts w:ascii="Arial" w:hAnsi="Arial" w:cs="Arial"/>
                <w:sz w:val="22"/>
              </w:rPr>
              <w:t xml:space="preserve"> </w:t>
            </w:r>
            <w:r w:rsidRPr="005761FD">
              <w:rPr>
                <w:rFonts w:ascii="Arial" w:hAnsi="Arial" w:cs="Arial"/>
                <w:sz w:val="20"/>
                <w:szCs w:val="20"/>
              </w:rPr>
              <w:t xml:space="preserve">tak, ako je zadefinovaná v </w:t>
            </w:r>
            <w:r w:rsidR="00997F82" w:rsidRPr="005761FD">
              <w:rPr>
                <w:rFonts w:ascii="Arial" w:hAnsi="Arial" w:cs="Arial"/>
                <w:sz w:val="20"/>
                <w:szCs w:val="20"/>
              </w:rPr>
              <w:t>príloh</w:t>
            </w:r>
            <w:r w:rsidRPr="005761FD">
              <w:rPr>
                <w:rFonts w:ascii="Arial" w:hAnsi="Arial" w:cs="Arial"/>
                <w:sz w:val="20"/>
                <w:szCs w:val="20"/>
              </w:rPr>
              <w:t>e</w:t>
            </w:r>
            <w:r w:rsidR="00997F82" w:rsidRPr="005761FD">
              <w:rPr>
                <w:rFonts w:ascii="Arial" w:hAnsi="Arial" w:cs="Arial"/>
                <w:sz w:val="20"/>
                <w:szCs w:val="20"/>
              </w:rPr>
              <w:t xml:space="preserve"> č. 2 výzvy Špecifikácia rozsahu oprávnen</w:t>
            </w:r>
            <w:r w:rsidRPr="005761FD">
              <w:rPr>
                <w:rFonts w:ascii="Arial" w:hAnsi="Arial" w:cs="Arial"/>
                <w:sz w:val="20"/>
                <w:szCs w:val="20"/>
              </w:rPr>
              <w:t>ej</w:t>
            </w:r>
            <w:r w:rsidR="00997F82" w:rsidRPr="005761FD">
              <w:rPr>
                <w:rFonts w:ascii="Arial" w:hAnsi="Arial" w:cs="Arial"/>
                <w:sz w:val="20"/>
                <w:szCs w:val="20"/>
              </w:rPr>
              <w:t xml:space="preserve"> aktiv</w:t>
            </w:r>
            <w:r w:rsidRPr="005761FD">
              <w:rPr>
                <w:rFonts w:ascii="Arial" w:hAnsi="Arial" w:cs="Arial"/>
                <w:sz w:val="20"/>
                <w:szCs w:val="20"/>
              </w:rPr>
              <w:t>i</w:t>
            </w:r>
            <w:r w:rsidR="00997F82" w:rsidRPr="005761FD">
              <w:rPr>
                <w:rFonts w:ascii="Arial" w:hAnsi="Arial" w:cs="Arial"/>
                <w:sz w:val="20"/>
                <w:szCs w:val="20"/>
              </w:rPr>
              <w:t>t</w:t>
            </w:r>
            <w:r w:rsidRPr="005761FD">
              <w:rPr>
                <w:rFonts w:ascii="Arial" w:hAnsi="Arial" w:cs="Arial"/>
                <w:sz w:val="20"/>
                <w:szCs w:val="20"/>
              </w:rPr>
              <w:t>y</w:t>
            </w:r>
            <w:r w:rsidR="00997F82" w:rsidRPr="005761FD">
              <w:rPr>
                <w:rFonts w:ascii="Arial" w:hAnsi="Arial" w:cs="Arial"/>
                <w:sz w:val="20"/>
                <w:szCs w:val="20"/>
              </w:rPr>
              <w:t xml:space="preserve"> a oprávnených výdavkov.</w:t>
            </w:r>
          </w:p>
          <w:p w14:paraId="6BDFCDA8" w14:textId="6AE59FDA" w:rsidR="0030645D" w:rsidRDefault="0030645D" w:rsidP="00183589">
            <w:pPr>
              <w:pStyle w:val="Odsekzoznamu"/>
              <w:widowControl w:val="0"/>
              <w:spacing w:before="120" w:after="120" w:line="240" w:lineRule="auto"/>
              <w:ind w:left="85" w:right="85"/>
              <w:contextualSpacing w:val="0"/>
              <w:jc w:val="both"/>
              <w:rPr>
                <w:rFonts w:ascii="Arial" w:hAnsi="Arial" w:cs="Arial"/>
                <w:bCs/>
                <w:sz w:val="20"/>
                <w:szCs w:val="20"/>
              </w:rPr>
            </w:pPr>
            <w:r w:rsidRPr="0030645D">
              <w:rPr>
                <w:rFonts w:ascii="Arial" w:hAnsi="Arial" w:cs="Arial"/>
                <w:bCs/>
                <w:sz w:val="20"/>
                <w:szCs w:val="20"/>
              </w:rPr>
              <w:t>Žiadateľ je povinný ukončiť realizáciu projektu a predložiť záverečnú žiadosť o platbu do 9 mesiacov</w:t>
            </w:r>
            <w:r w:rsidRPr="0030645D">
              <w:rPr>
                <w:rFonts w:ascii="Arial" w:hAnsi="Arial" w:cs="Arial"/>
                <w:bCs/>
                <w:sz w:val="20"/>
                <w:szCs w:val="20"/>
                <w:vertAlign w:val="superscript"/>
              </w:rPr>
              <w:footnoteReference w:id="1"/>
            </w:r>
            <w:r w:rsidRPr="0030645D">
              <w:rPr>
                <w:rFonts w:ascii="Arial" w:hAnsi="Arial" w:cs="Arial"/>
                <w:bCs/>
                <w:sz w:val="20"/>
                <w:szCs w:val="20"/>
              </w:rPr>
              <w:t xml:space="preserve"> od nadobudnutia účinnosti zmluvy o poskytnutí príspevku, najneskôr však do </w:t>
            </w:r>
            <w:r w:rsidR="00CE2432" w:rsidRPr="00B366DA">
              <w:rPr>
                <w:rFonts w:ascii="Arial" w:hAnsi="Arial" w:cs="Arial"/>
                <w:bCs/>
                <w:sz w:val="20"/>
                <w:szCs w:val="20"/>
              </w:rPr>
              <w:t>29.09.2023</w:t>
            </w:r>
            <w:r w:rsidRPr="0030645D">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61B9B5C0" w14:textId="77777777" w:rsidR="00CE2432" w:rsidRDefault="00997F82" w:rsidP="005761FD">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E0ECDFF" w14:textId="0CAD8EA2" w:rsidR="00CE2432" w:rsidRPr="005761FD" w:rsidRDefault="00CE2432" w:rsidP="005761FD">
            <w:pPr>
              <w:pStyle w:val="Odsekzoznamu"/>
              <w:widowControl w:val="0"/>
              <w:spacing w:after="0" w:line="240" w:lineRule="auto"/>
              <w:ind w:left="85" w:right="85"/>
              <w:contextualSpacing w:val="0"/>
              <w:jc w:val="both"/>
              <w:rPr>
                <w:rFonts w:ascii="Arial" w:hAnsi="Arial" w:cs="Arial"/>
                <w:bCs/>
                <w:sz w:val="20"/>
                <w:szCs w:val="20"/>
              </w:rPr>
            </w:pPr>
            <w:r w:rsidRPr="005761FD">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sidR="00D9211A">
              <w:rPr>
                <w:rFonts w:ascii="Arial" w:hAnsi="Arial" w:cs="Arial"/>
                <w:bCs/>
                <w:sz w:val="20"/>
                <w:szCs w:val="20"/>
              </w:rPr>
              <w:t>30.11</w:t>
            </w:r>
            <w:r w:rsidRPr="00B366DA">
              <w:rPr>
                <w:rFonts w:ascii="Arial" w:hAnsi="Arial" w:cs="Arial"/>
                <w:bCs/>
                <w:sz w:val="20"/>
                <w:szCs w:val="20"/>
              </w:rPr>
              <w:t>.2023</w:t>
            </w:r>
            <w:r w:rsidRPr="005761FD">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61EC4FA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CE2432">
              <w:rPr>
                <w:rFonts w:ascii="Arial" w:hAnsi="Arial" w:cs="Arial"/>
                <w:bCs/>
                <w:sz w:val="20"/>
                <w:szCs w:val="20"/>
              </w:rPr>
              <w:t xml:space="preserve"> </w:t>
            </w:r>
            <w:r w:rsidR="00CE2432" w:rsidRPr="00CE2432">
              <w:rPr>
                <w:rFonts w:ascii="Arial" w:hAnsi="Arial" w:cs="Arial"/>
                <w:bCs/>
                <w:sz w:val="20"/>
                <w:szCs w:val="20"/>
              </w:rPr>
              <w:t>overí znenie čestného vyhlásenia, ktoré tvorí súčasť formulára ŽoPr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7C6958B" w:rsidR="00997F82" w:rsidRPr="006D71F3" w:rsidRDefault="00997F82" w:rsidP="005761F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CE2432">
              <w:rPr>
                <w:rFonts w:ascii="Arial" w:hAnsi="Arial" w:cs="Arial"/>
                <w:b/>
                <w:sz w:val="20"/>
                <w:szCs w:val="20"/>
              </w:rPr>
              <w:t xml:space="preserve">realizáciu </w:t>
            </w:r>
            <w:r w:rsidRPr="00BE7B8E">
              <w:rPr>
                <w:rFonts w:ascii="Arial" w:hAnsi="Arial" w:cs="Arial"/>
                <w:b/>
                <w:sz w:val="20"/>
                <w:szCs w:val="20"/>
              </w:rPr>
              <w:t>projekt</w:t>
            </w:r>
            <w:r w:rsidR="00CE243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CE2432">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9FB240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514242">
              <w:rPr>
                <w:rFonts w:ascii="Arial" w:hAnsi="Arial" w:cs="Arial"/>
                <w:bCs/>
                <w:sz w:val="20"/>
                <w:szCs w:val="20"/>
              </w:rPr>
              <w:t xml:space="preserve">realizáciu </w:t>
            </w:r>
            <w:r>
              <w:rPr>
                <w:rFonts w:ascii="Arial" w:hAnsi="Arial" w:cs="Arial"/>
                <w:bCs/>
                <w:sz w:val="20"/>
                <w:szCs w:val="20"/>
              </w:rPr>
              <w:t>projekt</w:t>
            </w:r>
            <w:r w:rsidR="00514242">
              <w:rPr>
                <w:rFonts w:ascii="Arial" w:hAnsi="Arial" w:cs="Arial"/>
                <w:bCs/>
                <w:sz w:val="20"/>
                <w:szCs w:val="20"/>
              </w:rPr>
              <w:t>u</w:t>
            </w:r>
            <w:r>
              <w:rPr>
                <w:rFonts w:ascii="Arial" w:hAnsi="Arial" w:cs="Arial"/>
                <w:bCs/>
                <w:sz w:val="20"/>
                <w:szCs w:val="20"/>
              </w:rPr>
              <w:t xml:space="preserve"> pred</w:t>
            </w:r>
            <w:r w:rsidR="00514242">
              <w:rPr>
                <w:rFonts w:ascii="Arial" w:hAnsi="Arial" w:cs="Arial"/>
                <w:bCs/>
                <w:sz w:val="20"/>
                <w:szCs w:val="20"/>
              </w:rPr>
              <w:t xml:space="preserve"> predložením ŽoPr na MAS</w:t>
            </w:r>
            <w:r>
              <w:rPr>
                <w:rFonts w:ascii="Arial" w:hAnsi="Arial" w:cs="Arial"/>
                <w:bCs/>
                <w:sz w:val="20"/>
                <w:szCs w:val="20"/>
              </w:rPr>
              <w:t>.</w:t>
            </w:r>
          </w:p>
          <w:p w14:paraId="3E390E2C" w14:textId="02A1144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14242">
              <w:rPr>
                <w:rFonts w:ascii="Arial" w:hAnsi="Arial" w:cs="Arial"/>
                <w:bCs/>
                <w:sz w:val="20"/>
                <w:szCs w:val="20"/>
              </w:rPr>
              <w:t>realizácie projektu</w:t>
            </w:r>
            <w:r w:rsidR="00514242"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3E37DD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514242">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14242">
              <w:rPr>
                <w:rFonts w:ascii="Arial" w:hAnsi="Arial" w:cs="Arial"/>
                <w:bCs/>
                <w:sz w:val="20"/>
                <w:szCs w:val="20"/>
              </w:rPr>
              <w:t>ajú</w:t>
            </w:r>
            <w:r w:rsidRPr="00440325">
              <w:rPr>
                <w:rFonts w:ascii="Arial" w:hAnsi="Arial" w:cs="Arial"/>
                <w:bCs/>
                <w:sz w:val="20"/>
                <w:szCs w:val="20"/>
              </w:rPr>
              <w:t xml:space="preserve"> za</w:t>
            </w:r>
            <w:r w:rsidR="00514242">
              <w:rPr>
                <w:rFonts w:ascii="Arial" w:hAnsi="Arial" w:cs="Arial"/>
                <w:bCs/>
                <w:sz w:val="20"/>
                <w:szCs w:val="20"/>
              </w:rPr>
              <w:t xml:space="preserve"> realizáciu projektu</w:t>
            </w:r>
            <w:r w:rsidRPr="00440325">
              <w:rPr>
                <w:rFonts w:ascii="Arial" w:hAnsi="Arial" w:cs="Arial"/>
                <w:bCs/>
                <w:sz w:val="20"/>
                <w:szCs w:val="20"/>
              </w:rPr>
              <w:t>.</w:t>
            </w:r>
          </w:p>
          <w:p w14:paraId="1F87D7EC" w14:textId="44BCC9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p>
          <w:p w14:paraId="39733C18" w14:textId="198787E1"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514242">
              <w:rPr>
                <w:rFonts w:ascii="Arial" w:hAnsi="Arial" w:cs="Arial"/>
                <w:bCs/>
                <w:sz w:val="20"/>
                <w:szCs w:val="20"/>
              </w:rPr>
              <w:t xml:space="preserve">dáva </w:t>
            </w:r>
            <w:r w:rsidRPr="002123FB">
              <w:rPr>
                <w:rFonts w:ascii="Arial" w:hAnsi="Arial" w:cs="Arial"/>
                <w:bCs/>
                <w:sz w:val="20"/>
                <w:szCs w:val="20"/>
              </w:rPr>
              <w:t>žiadateľovi</w:t>
            </w:r>
            <w:r w:rsidR="00514242">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0B983EF8"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514242">
              <w:rPr>
                <w:rFonts w:ascii="Arial" w:hAnsi="Arial" w:cs="Arial"/>
                <w:bCs/>
                <w:sz w:val="20"/>
                <w:szCs w:val="20"/>
              </w:rPr>
              <w:t xml:space="preserve">realizácia projektu </w:t>
            </w:r>
            <w:r w:rsidRPr="002123FB">
              <w:rPr>
                <w:rFonts w:ascii="Arial" w:hAnsi="Arial" w:cs="Arial"/>
                <w:bCs/>
                <w:sz w:val="20"/>
                <w:szCs w:val="20"/>
              </w:rPr>
              <w:t>začal</w:t>
            </w:r>
            <w:r w:rsidR="00514242">
              <w:rPr>
                <w:rFonts w:ascii="Arial" w:hAnsi="Arial" w:cs="Arial"/>
                <w:bCs/>
                <w:sz w:val="20"/>
                <w:szCs w:val="20"/>
              </w:rPr>
              <w:t>a</w:t>
            </w:r>
            <w:r w:rsidRPr="002123FB">
              <w:rPr>
                <w:rFonts w:ascii="Arial" w:hAnsi="Arial" w:cs="Arial"/>
                <w:bCs/>
                <w:sz w:val="20"/>
                <w:szCs w:val="20"/>
              </w:rPr>
              <w:t xml:space="preserve"> pred </w:t>
            </w:r>
            <w:r w:rsidR="00514242">
              <w:rPr>
                <w:rFonts w:ascii="Arial" w:hAnsi="Arial" w:cs="Arial"/>
                <w:bCs/>
                <w:sz w:val="20"/>
                <w:szCs w:val="20"/>
              </w:rPr>
              <w:t>predložením ŽoPr na MAS</w:t>
            </w:r>
            <w:r w:rsidRPr="002123FB">
              <w:rPr>
                <w:rFonts w:ascii="Arial" w:hAnsi="Arial" w:cs="Arial"/>
                <w:bCs/>
                <w:sz w:val="20"/>
                <w:szCs w:val="20"/>
              </w:rPr>
              <w:t xml:space="preserve"> napr.:</w:t>
            </w:r>
          </w:p>
          <w:p w14:paraId="557FD218" w14:textId="6AB4731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514242">
              <w:rPr>
                <w:rFonts w:ascii="Arial" w:hAnsi="Arial" w:cs="Arial"/>
                <w:bCs/>
                <w:sz w:val="20"/>
                <w:szCs w:val="20"/>
              </w:rPr>
              <w:t>moment predloženia ŽoPr</w:t>
            </w:r>
            <w:r w:rsidR="00C83715">
              <w:rPr>
                <w:rFonts w:ascii="Arial" w:hAnsi="Arial" w:cs="Arial"/>
                <w:bCs/>
                <w:sz w:val="20"/>
                <w:szCs w:val="20"/>
              </w:rPr>
              <w:t xml:space="preserve"> na MAS</w:t>
            </w:r>
            <w:r w:rsidRPr="002123FB">
              <w:rPr>
                <w:rFonts w:ascii="Arial" w:hAnsi="Arial" w:cs="Arial"/>
                <w:bCs/>
                <w:sz w:val="20"/>
                <w:szCs w:val="20"/>
              </w:rPr>
              <w:t>,</w:t>
            </w:r>
          </w:p>
          <w:p w14:paraId="23ABB3A5" w14:textId="53BFBB93"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C83715">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C83715">
              <w:rPr>
                <w:rFonts w:ascii="Arial" w:hAnsi="Arial" w:cs="Arial"/>
                <w:bCs/>
                <w:sz w:val="20"/>
                <w:szCs w:val="20"/>
              </w:rPr>
              <w:t xml:space="preserve"> </w:t>
            </w:r>
            <w:r w:rsidRPr="00974FED">
              <w:rPr>
                <w:rFonts w:ascii="Arial" w:hAnsi="Arial" w:cs="Arial"/>
                <w:bCs/>
                <w:sz w:val="20"/>
                <w:szCs w:val="20"/>
              </w:rPr>
              <w:t>/</w:t>
            </w:r>
            <w:r w:rsidR="00C83715">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lastRenderedPageBreak/>
              <w:t>alebo</w:t>
            </w:r>
          </w:p>
          <w:p w14:paraId="58D6F329" w14:textId="19D723E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C83715">
              <w:rPr>
                <w:rFonts w:ascii="Arial" w:hAnsi="Arial" w:cs="Arial"/>
                <w:bCs/>
                <w:sz w:val="20"/>
                <w:szCs w:val="20"/>
              </w:rPr>
              <w:t xml:space="preserve"> 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2F903C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 </w:t>
            </w:r>
            <w:r w:rsidR="00C83715">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C83715">
              <w:rPr>
                <w:rFonts w:ascii="Arial" w:hAnsi="Arial" w:cs="Arial"/>
                <w:bCs/>
                <w:sz w:val="20"/>
                <w:szCs w:val="20"/>
              </w:rPr>
              <w:t>al</w:t>
            </w:r>
            <w:r w:rsidRPr="001F15D0">
              <w:rPr>
                <w:rFonts w:ascii="Arial" w:hAnsi="Arial" w:cs="Arial"/>
                <w:bCs/>
                <w:sz w:val="20"/>
                <w:szCs w:val="20"/>
              </w:rPr>
              <w:t xml:space="preserve"> </w:t>
            </w:r>
            <w:r w:rsidR="00C83715">
              <w:rPr>
                <w:rFonts w:ascii="Arial" w:hAnsi="Arial" w:cs="Arial"/>
                <w:bCs/>
                <w:sz w:val="20"/>
                <w:szCs w:val="20"/>
              </w:rPr>
              <w:t xml:space="preserve">realizáciu </w:t>
            </w:r>
            <w:r w:rsidRPr="001F15D0">
              <w:rPr>
                <w:rFonts w:ascii="Arial" w:hAnsi="Arial" w:cs="Arial"/>
                <w:bCs/>
                <w:sz w:val="20"/>
                <w:szCs w:val="20"/>
              </w:rPr>
              <w:t>projekt</w:t>
            </w:r>
            <w:r w:rsidR="00C83715">
              <w:rPr>
                <w:rFonts w:ascii="Arial" w:hAnsi="Arial" w:cs="Arial"/>
                <w:bCs/>
                <w:sz w:val="20"/>
                <w:szCs w:val="20"/>
              </w:rPr>
              <w:t>u</w:t>
            </w:r>
            <w:r w:rsidRPr="001F15D0">
              <w:rPr>
                <w:rFonts w:ascii="Arial" w:hAnsi="Arial" w:cs="Arial"/>
                <w:bCs/>
                <w:sz w:val="20"/>
                <w:szCs w:val="20"/>
              </w:rPr>
              <w:t xml:space="preserve"> pred </w:t>
            </w:r>
            <w:r w:rsidR="00C83715">
              <w:rPr>
                <w:rFonts w:ascii="Arial" w:hAnsi="Arial" w:cs="Arial"/>
                <w:bCs/>
                <w:sz w:val="20"/>
                <w:szCs w:val="20"/>
              </w:rPr>
              <w:t>predložením ŽoPr na MAS</w:t>
            </w:r>
            <w:r w:rsidRPr="001F15D0">
              <w:rPr>
                <w:rFonts w:ascii="Arial" w:hAnsi="Arial" w:cs="Arial"/>
                <w:bCs/>
                <w:sz w:val="20"/>
                <w:szCs w:val="20"/>
              </w:rPr>
              <w:t>.</w:t>
            </w:r>
          </w:p>
          <w:bookmarkEnd w:id="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57513086" w:rsidR="00C94CE1" w:rsidRPr="00C83715" w:rsidRDefault="00997F82" w:rsidP="00C83715">
            <w:pPr>
              <w:pStyle w:val="Odsekzoznamu"/>
              <w:spacing w:before="120" w:after="120" w:line="240" w:lineRule="auto"/>
              <w:ind w:left="85" w:right="85"/>
              <w:contextualSpacing w:val="0"/>
              <w:jc w:val="both"/>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C9703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312F16" w14:textId="45F6F0A4" w:rsidR="007B24F9" w:rsidRDefault="007B24F9" w:rsidP="002563E5">
            <w:pPr>
              <w:pStyle w:val="Odsekzoznamu"/>
              <w:ind w:left="82"/>
              <w:jc w:val="both"/>
              <w:rPr>
                <w:rFonts w:ascii="Arial" w:hAnsi="Arial" w:cs="Arial"/>
                <w:bCs/>
                <w:sz w:val="20"/>
                <w:szCs w:val="20"/>
              </w:rPr>
            </w:pPr>
            <w:r w:rsidRPr="007B24F9">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D7A9E2B" w14:textId="77777777" w:rsidR="00C94CE1" w:rsidRPr="007B24F9" w:rsidRDefault="00C94CE1" w:rsidP="002563E5">
            <w:pPr>
              <w:pStyle w:val="Odsekzoznamu"/>
              <w:ind w:left="82"/>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60BF5CB8" w:rsidR="00997F82" w:rsidRPr="001B037E" w:rsidRDefault="00997F82" w:rsidP="000025DF">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2854E918"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CC43EE">
              <w:rPr>
                <w:rFonts w:ascii="Arial" w:hAnsi="Arial" w:cs="Arial"/>
                <w:bCs/>
                <w:sz w:val="20"/>
                <w:szCs w:val="20"/>
              </w:rPr>
              <w:t xml:space="preserve"> </w:t>
            </w:r>
            <w:r w:rsidRPr="00536E5F">
              <w:rPr>
                <w:rFonts w:ascii="Arial" w:hAnsi="Arial" w:cs="Arial"/>
                <w:bCs/>
                <w:sz w:val="20"/>
                <w:szCs w:val="20"/>
              </w:rPr>
              <w:t xml:space="preserve">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DD5C329"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relevantných merateľných ukazovateľov.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lastRenderedPageBreak/>
              <w:t>Forma preukázania:</w:t>
            </w:r>
          </w:p>
          <w:p w14:paraId="743836D3" w14:textId="3EE698BD"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D0575E" w14:textId="3F8A4835" w:rsidR="00CC43EE" w:rsidRDefault="00997F82" w:rsidP="00C94CE1">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CC43EE">
              <w:rPr>
                <w:rFonts w:ascii="Arial" w:hAnsi="Arial" w:cs="Arial"/>
                <w:bCs/>
                <w:sz w:val="20"/>
                <w:szCs w:val="20"/>
              </w:rPr>
              <w:t>ej</w:t>
            </w:r>
            <w:r w:rsidRPr="00AA50FD">
              <w:rPr>
                <w:rFonts w:ascii="Arial" w:hAnsi="Arial" w:cs="Arial"/>
                <w:bCs/>
                <w:sz w:val="20"/>
                <w:szCs w:val="20"/>
              </w:rPr>
              <w:t xml:space="preserve"> aktiv</w:t>
            </w:r>
            <w:r w:rsidR="00CC43EE">
              <w:rPr>
                <w:rFonts w:ascii="Arial" w:hAnsi="Arial" w:cs="Arial"/>
                <w:bCs/>
                <w:sz w:val="20"/>
                <w:szCs w:val="20"/>
              </w:rPr>
              <w:t>i</w:t>
            </w:r>
            <w:r w:rsidRPr="00AA50FD">
              <w:rPr>
                <w:rFonts w:ascii="Arial" w:hAnsi="Arial" w:cs="Arial"/>
                <w:bCs/>
                <w:sz w:val="20"/>
                <w:szCs w:val="20"/>
              </w:rPr>
              <w:t>t</w:t>
            </w:r>
            <w:r w:rsidR="00CC43EE">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C94CE1" w:rsidRPr="00C94CE1">
              <w:rPr>
                <w:rFonts w:ascii="Arial" w:hAnsi="Arial" w:cs="Arial"/>
                <w:bCs/>
                <w:sz w:val="20"/>
                <w:szCs w:val="20"/>
              </w:rPr>
              <w:t xml:space="preserve"> </w:t>
            </w:r>
          </w:p>
          <w:p w14:paraId="23ADCB43" w14:textId="3AF92BB3" w:rsidR="00997F82" w:rsidRPr="003B182C" w:rsidRDefault="00CC43EE" w:rsidP="00C94CE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00D9211A" w:rsidRPr="00D9211A">
              <w:rPr>
                <w:rFonts w:ascii="Arial" w:hAnsi="Arial" w:cs="Arial"/>
                <w:bCs/>
                <w:sz w:val="20"/>
                <w:szCs w:val="20"/>
              </w:rPr>
              <w:t>30. novembra</w:t>
            </w:r>
            <w:r w:rsidRPr="00D9211A">
              <w:rPr>
                <w:rFonts w:ascii="Arial" w:hAnsi="Arial" w:cs="Arial"/>
                <w:bCs/>
                <w:sz w:val="20"/>
                <w:szCs w:val="20"/>
              </w:rPr>
              <w:t xml:space="preserve"> 2023</w:t>
            </w:r>
            <w:r>
              <w:rPr>
                <w:rFonts w:ascii="Arial" w:hAnsi="Arial" w:cs="Arial"/>
                <w:bCs/>
                <w:sz w:val="20"/>
                <w:szCs w:val="20"/>
              </w:rPr>
              <w:t>.</w:t>
            </w:r>
          </w:p>
          <w:p w14:paraId="1CDE0C6C" w14:textId="3FA6221B" w:rsidR="00997F82" w:rsidRDefault="00997F82" w:rsidP="00C4320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C4320F">
              <w:rPr>
                <w:rFonts w:ascii="Arial" w:hAnsi="Arial" w:cs="Arial"/>
                <w:bCs/>
                <w:sz w:val="20"/>
                <w:szCs w:val="20"/>
              </w:rPr>
              <w:t xml:space="preserve"> č.343/2015 Z. z.</w:t>
            </w:r>
            <w:r w:rsidRPr="00771033">
              <w:rPr>
                <w:rFonts w:ascii="Arial" w:hAnsi="Arial" w:cs="Arial"/>
                <w:bCs/>
                <w:sz w:val="20"/>
                <w:szCs w:val="20"/>
              </w:rPr>
              <w:t xml:space="preserve"> o verejnom obstarávaní</w:t>
            </w:r>
            <w:r w:rsidR="00C4320F">
              <w:rPr>
                <w:rFonts w:ascii="Arial" w:hAnsi="Arial" w:cs="Arial"/>
                <w:bCs/>
                <w:sz w:val="20"/>
                <w:szCs w:val="20"/>
              </w:rPr>
              <w:t xml:space="preserve"> 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2E625A80" w14:textId="77777777" w:rsidR="00C4320F" w:rsidRDefault="00C4320F" w:rsidP="00C4320F">
            <w:pPr>
              <w:pStyle w:val="Odsekzoznamu"/>
              <w:spacing w:before="120" w:after="120" w:line="240" w:lineRule="auto"/>
              <w:ind w:left="85" w:right="85"/>
              <w:contextualSpacing w:val="0"/>
              <w:jc w:val="both"/>
              <w:rPr>
                <w:rFonts w:ascii="Arial" w:hAnsi="Arial" w:cs="Arial"/>
                <w:bCs/>
                <w:sz w:val="20"/>
                <w:szCs w:val="20"/>
              </w:rPr>
            </w:pPr>
            <w:hyperlink r:id="rId11"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lastRenderedPageBreak/>
              <w:t>Rozpočet projektu,</w:t>
            </w:r>
          </w:p>
          <w:p w14:paraId="12CC2324" w14:textId="72BA3EFD"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Look w:val="04A0" w:firstRow="1" w:lastRow="0" w:firstColumn="1" w:lastColumn="0" w:noHBand="0" w:noVBand="1"/>
      </w:tblPr>
      <w:tblGrid>
        <w:gridCol w:w="9776"/>
      </w:tblGrid>
      <w:tr w:rsidR="00F3135A" w:rsidRPr="0069258C" w14:paraId="5E46056A" w14:textId="77777777" w:rsidTr="00F3135A">
        <w:trPr>
          <w:trHeight w:val="287"/>
        </w:trPr>
        <w:tc>
          <w:tcPr>
            <w:tcW w:w="9776" w:type="dxa"/>
          </w:tcPr>
          <w:p w14:paraId="59243D06"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F3135A" w:rsidRPr="006A79F0" w14:paraId="6A7C5E6D" w14:textId="77777777" w:rsidTr="00F3135A">
        <w:tc>
          <w:tcPr>
            <w:tcW w:w="9776" w:type="dxa"/>
          </w:tcPr>
          <w:p w14:paraId="3F4AA5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DBAF75D" w14:textId="6E0F659F"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8F6CAA">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78B06D8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236767A2"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0FF6853"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71521403"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74D6AB73" w14:textId="5FBA6C63" w:rsidR="00F3135A" w:rsidRPr="00971A5F"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C94CE1">
                <w:rPr>
                  <w:rStyle w:val="Hypertextovprepojenie"/>
                </w:rPr>
                <w:t>https://www.ip.gov.sk/app/registerNZ/</w:t>
              </w:r>
            </w:hyperlink>
            <w:r w:rsidR="00C94CE1">
              <w:rPr>
                <w:rStyle w:val="Hypertextovprepojenie"/>
                <w:rFonts w:cs="Arial"/>
                <w:bCs/>
                <w:sz w:val="20"/>
                <w:szCs w:val="20"/>
              </w:rPr>
              <w:t>,</w:t>
            </w:r>
            <w:r>
              <w:rPr>
                <w:rFonts w:ascii="Arial" w:hAnsi="Arial" w:cs="Arial"/>
                <w:bCs/>
                <w:sz w:val="20"/>
                <w:szCs w:val="20"/>
              </w:rPr>
              <w:t xml:space="preserve"> </w:t>
            </w:r>
            <w:hyperlink w:history="1"/>
          </w:p>
        </w:tc>
      </w:tr>
      <w:tr w:rsidR="00F3135A" w:rsidRPr="0069258C" w14:paraId="42C04325" w14:textId="77777777" w:rsidTr="00F3135A">
        <w:trPr>
          <w:trHeight w:val="287"/>
        </w:trPr>
        <w:tc>
          <w:tcPr>
            <w:tcW w:w="9776" w:type="dxa"/>
          </w:tcPr>
          <w:p w14:paraId="36E67917" w14:textId="0DDCF3E6" w:rsidR="00F3135A" w:rsidRPr="006D71F3" w:rsidRDefault="00F3135A" w:rsidP="008F6CAA">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projektu</w:t>
            </w:r>
            <w:bookmarkEnd w:id="5"/>
          </w:p>
        </w:tc>
      </w:tr>
      <w:tr w:rsidR="00F3135A" w:rsidRPr="006A79F0" w14:paraId="64DCB57B" w14:textId="77777777" w:rsidTr="00F3135A">
        <w:tc>
          <w:tcPr>
            <w:tcW w:w="9776" w:type="dxa"/>
          </w:tcPr>
          <w:p w14:paraId="64DCA9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05E684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40D3B6D9"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51A861E" w14:textId="77777777" w:rsidR="00F3135A" w:rsidRPr="00F27DBD" w:rsidRDefault="00F3135A" w:rsidP="00E316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597E240" w14:textId="77777777" w:rsidR="00F3135A" w:rsidRDefault="00F3135A" w:rsidP="00E316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1ECF7151"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173AEF85"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4B03728B" w14:textId="77777777" w:rsidR="00F3135A" w:rsidRDefault="00F3135A" w:rsidP="00E316F5">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E4E254C" w14:textId="77777777" w:rsidR="00F3135A" w:rsidRDefault="00F3135A" w:rsidP="00E316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76F9B68A" w14:textId="77777777" w:rsidR="00F3135A" w:rsidRPr="00F27DBD" w:rsidRDefault="00F3135A" w:rsidP="00E316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290C23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 xml:space="preserve">Žiadateľ musí preukázať (vlastnícke alebo iné) právo k nehnuteľnostiam (pozemkom a/alebo stavbám), na ktorých bude projekt realizovaný a ktoré budú užívané v nadväznosti na zrealizovaný projekt v období </w:t>
            </w:r>
            <w:r w:rsidRPr="00003CBA">
              <w:rPr>
                <w:rFonts w:ascii="Arial" w:hAnsi="Arial" w:cs="Arial"/>
                <w:sz w:val="20"/>
                <w:szCs w:val="20"/>
                <w:lang w:eastAsia="en-US"/>
              </w:rPr>
              <w:lastRenderedPageBreak/>
              <w:t>udržateľnosti projektu.</w:t>
            </w:r>
            <w:r w:rsidR="00CA2A8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749CA26"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3135A">
              <w:rPr>
                <w:rFonts w:ascii="Arial" w:hAnsi="Arial" w:cs="Arial"/>
                <w:sz w:val="20"/>
                <w:szCs w:val="20"/>
                <w:lang w:eastAsia="en-US"/>
              </w:rPr>
              <w:t>1</w:t>
            </w:r>
            <w:r w:rsidR="00CA2A81">
              <w:rPr>
                <w:rFonts w:ascii="Arial" w:hAnsi="Arial" w:cs="Arial"/>
                <w:sz w:val="20"/>
                <w:szCs w:val="20"/>
                <w:lang w:eastAsia="en-US"/>
              </w:rPr>
              <w:t>1</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lastRenderedPageBreak/>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E63C03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10.000,00 </w:t>
            </w:r>
            <w:r>
              <w:rPr>
                <w:rFonts w:ascii="Arial" w:hAnsi="Arial" w:cs="Arial"/>
                <w:bCs/>
                <w:sz w:val="20"/>
                <w:szCs w:val="20"/>
              </w:rPr>
              <w:t>EUR</w:t>
            </w:r>
          </w:p>
          <w:p w14:paraId="582FBBB1" w14:textId="6EF4922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5761FD">
              <w:rPr>
                <w:rFonts w:ascii="Arial" w:hAnsi="Arial" w:cs="Arial"/>
                <w:bCs/>
                <w:sz w:val="20"/>
                <w:szCs w:val="20"/>
              </w:rPr>
              <w:t>35</w:t>
            </w:r>
            <w:r w:rsidR="00C94603">
              <w:rPr>
                <w:rFonts w:ascii="Arial" w:hAnsi="Arial" w:cs="Arial"/>
                <w:bCs/>
                <w:sz w:val="20"/>
                <w:szCs w:val="20"/>
              </w:rPr>
              <w:t xml:space="preserve">.000,00 </w:t>
            </w:r>
            <w:r>
              <w:rPr>
                <w:rFonts w:ascii="Arial" w:hAnsi="Arial" w:cs="Arial"/>
                <w:bCs/>
                <w:sz w:val="20"/>
                <w:szCs w:val="20"/>
              </w:rPr>
              <w:t xml:space="preserve">EUR </w:t>
            </w:r>
          </w:p>
          <w:p w14:paraId="7B896802" w14:textId="685DB73B" w:rsidR="00B366DA" w:rsidRDefault="00B366DA"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5761FD">
              <w:rPr>
                <w:rFonts w:ascii="Arial" w:hAnsi="Arial" w:cs="Arial"/>
                <w:bCs/>
                <w:sz w:val="20"/>
                <w:szCs w:val="20"/>
              </w:rPr>
              <w:t>:</w:t>
            </w:r>
            <w:r w:rsidR="00125FDE" w:rsidRPr="005761FD">
              <w:rPr>
                <w:rFonts w:ascii="Arial" w:hAnsi="Arial" w:cs="Arial"/>
                <w:bCs/>
                <w:sz w:val="20"/>
                <w:szCs w:val="20"/>
              </w:rPr>
              <w:t xml:space="preserve"> </w:t>
            </w:r>
            <w:r w:rsidR="005761FD" w:rsidRPr="005761FD">
              <w:rPr>
                <w:rFonts w:ascii="Arial" w:hAnsi="Arial" w:cs="Arial"/>
                <w:bCs/>
                <w:sz w:val="20"/>
                <w:szCs w:val="20"/>
              </w:rPr>
              <w:t>36.842,10</w:t>
            </w:r>
            <w:r w:rsidR="00125FDE" w:rsidRPr="005761FD">
              <w:rPr>
                <w:rFonts w:ascii="Arial" w:hAnsi="Arial" w:cs="Arial"/>
                <w:bCs/>
                <w:sz w:val="20"/>
                <w:szCs w:val="20"/>
              </w:rPr>
              <w:t xml:space="preserve"> </w:t>
            </w:r>
            <w:r w:rsidRPr="005761FD">
              <w:rPr>
                <w:rFonts w:ascii="Arial" w:hAnsi="Arial" w:cs="Arial"/>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5BD79621"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00DB8F9D"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15C94C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C94603">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Náležitosti príloh ŽoPr</w:t>
            </w:r>
          </w:p>
        </w:tc>
      </w:tr>
    </w:tbl>
    <w:p w14:paraId="6060C5D0" w14:textId="4FE84D2B"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3A108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 xml:space="preserve">plnomocenstvo s úradne osvedčeným podpisom štatutárneho orgánu žiadateľa, ktorým štatutárny orgán žiadateľa oprávňuje danú osobu/osoby na </w:t>
            </w:r>
            <w:r w:rsidRPr="002C3A60">
              <w:rPr>
                <w:rFonts w:ascii="Arial" w:hAnsi="Arial" w:cs="Arial"/>
                <w:bCs/>
                <w:sz w:val="20"/>
                <w:szCs w:val="20"/>
              </w:rPr>
              <w:lastRenderedPageBreak/>
              <w:t>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2E5AC2AA"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13082D" w:rsidR="00997F82"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C94603">
              <w:rPr>
                <w:rFonts w:ascii="Arial" w:hAnsi="Arial" w:cs="Arial"/>
                <w:bCs/>
                <w:sz w:val="20"/>
                <w:szCs w:val="20"/>
              </w:rPr>
              <w:t>IROP-CLLD-Q002-512-00</w:t>
            </w:r>
            <w:r w:rsidR="001856CF">
              <w:rPr>
                <w:rFonts w:ascii="Arial" w:hAnsi="Arial" w:cs="Arial"/>
                <w:bCs/>
                <w:sz w:val="20"/>
                <w:szCs w:val="20"/>
              </w:rPr>
              <w:t>3</w:t>
            </w:r>
            <w:r w:rsidR="00C94603">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2C8CAF9C"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1515E2">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7A5378E5"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3B182C">
            <w:pPr>
              <w:pStyle w:val="Odsekzoznamu"/>
              <w:keepNext/>
              <w:numPr>
                <w:ilvl w:val="1"/>
                <w:numId w:val="23"/>
              </w:numPr>
              <w:spacing w:before="120" w:after="120" w:line="240" w:lineRule="auto"/>
              <w:ind w:left="936" w:hanging="709"/>
              <w:jc w:val="both"/>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325D2A7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1515E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E96D3DB"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97085FC" w:rsidR="00997F82" w:rsidRPr="002C3A60" w:rsidRDefault="00997F82" w:rsidP="002563E5">
            <w:pPr>
              <w:pStyle w:val="Odsekzoznamu"/>
              <w:keepNext/>
              <w:numPr>
                <w:ilvl w:val="1"/>
                <w:numId w:val="23"/>
              </w:numPr>
              <w:spacing w:before="120" w:after="120" w:line="240" w:lineRule="auto"/>
              <w:ind w:left="883" w:hanging="709"/>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437959B6" w:rsidR="00997F82" w:rsidRPr="00F413B2" w:rsidRDefault="00997F82" w:rsidP="002563E5">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 za každého člena jeho štatutárneho orgánu</w:t>
            </w:r>
            <w:r w:rsidR="006073BA">
              <w:rPr>
                <w:rFonts w:ascii="Arial" w:hAnsi="Arial" w:cs="Arial"/>
                <w:bCs/>
                <w:sz w:val="20"/>
                <w:szCs w:val="20"/>
              </w:rPr>
              <w:t xml:space="preserve"> (s výnimkou štatutárneho orgánu obce), každého prokuristu</w:t>
            </w:r>
            <w:r w:rsidRPr="00F413B2">
              <w:rPr>
                <w:rFonts w:ascii="Arial" w:hAnsi="Arial" w:cs="Arial"/>
                <w:bCs/>
                <w:sz w:val="20"/>
                <w:szCs w:val="20"/>
              </w:rPr>
              <w:t xml:space="preserve"> a každú osobu splnomocnenú zastupovať žiadateľa na úkony súvisiace so ŽoPr.</w:t>
            </w:r>
          </w:p>
          <w:p w14:paraId="61152A19" w14:textId="19C9C928"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lastRenderedPageBreak/>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6D36CE9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w:t>
            </w:r>
            <w:r w:rsidR="004B5BF7">
              <w:rPr>
                <w:rFonts w:ascii="Arial" w:hAnsi="Arial" w:cs="Arial"/>
                <w:bCs/>
                <w:sz w:val="20"/>
                <w:szCs w:val="20"/>
              </w:rPr>
              <w:t>y,</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9F04C24"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4B5BF7">
              <w:rPr>
                <w:rFonts w:ascii="Arial" w:hAnsi="Arial" w:cs="Arial"/>
                <w:bCs/>
                <w:sz w:val="20"/>
                <w:szCs w:val="20"/>
              </w:rPr>
              <w:t>5</w:t>
            </w:r>
            <w:r w:rsidR="004B5BF7"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004B5BF7">
              <w:rPr>
                <w:rFonts w:ascii="Arial" w:hAnsi="Arial" w:cs="Arial"/>
                <w:bCs/>
                <w:sz w:val="20"/>
                <w:szCs w:val="20"/>
              </w:rPr>
              <w:t>realizáciu</w:t>
            </w:r>
            <w:r w:rsidRPr="00835223">
              <w:rPr>
                <w:rFonts w:ascii="Arial" w:hAnsi="Arial" w:cs="Arial"/>
                <w:bCs/>
                <w:sz w:val="20"/>
                <w:szCs w:val="20"/>
              </w:rPr>
              <w:t xml:space="preserve"> projekt</w:t>
            </w:r>
            <w:r w:rsidR="004B5BF7">
              <w:rPr>
                <w:rFonts w:ascii="Arial" w:hAnsi="Arial" w:cs="Arial"/>
                <w:bCs/>
                <w:sz w:val="20"/>
                <w:szCs w:val="20"/>
              </w:rPr>
              <w:t>u</w:t>
            </w:r>
            <w:r w:rsidRPr="00835223">
              <w:rPr>
                <w:rFonts w:ascii="Arial" w:hAnsi="Arial" w:cs="Arial"/>
                <w:bCs/>
                <w:sz w:val="20"/>
                <w:szCs w:val="20"/>
              </w:rPr>
              <w:t xml:space="preserve"> pred </w:t>
            </w:r>
            <w:r w:rsidR="004B5BF7">
              <w:rPr>
                <w:rFonts w:ascii="Arial" w:hAnsi="Arial" w:cs="Arial"/>
                <w:bCs/>
                <w:sz w:val="20"/>
                <w:szCs w:val="20"/>
              </w:rPr>
              <w:t> predložením ŽoPr na MAS</w:t>
            </w:r>
            <w:r w:rsidRPr="00835223">
              <w:rPr>
                <w:rFonts w:ascii="Arial" w:hAnsi="Arial" w:cs="Arial"/>
                <w:bCs/>
                <w:sz w:val="20"/>
                <w:szCs w:val="20"/>
              </w:rPr>
              <w:t xml:space="preserve">), je potrebné, aby zmluvy s dodávateľom nenadobudli účinnosť pred </w:t>
            </w:r>
            <w:r w:rsidR="004B5BF7">
              <w:rPr>
                <w:rFonts w:ascii="Arial" w:hAnsi="Arial" w:cs="Arial"/>
                <w:bCs/>
                <w:sz w:val="20"/>
                <w:szCs w:val="20"/>
              </w:rPr>
              <w:t> predložením ŽoPr na MAS</w:t>
            </w:r>
            <w:r w:rsidRPr="00835223">
              <w:rPr>
                <w:rFonts w:ascii="Arial" w:hAnsi="Arial" w:cs="Arial"/>
                <w:bCs/>
                <w:sz w:val="20"/>
                <w:szCs w:val="20"/>
              </w:rPr>
              <w:t xml:space="preserve"> (preto odporúčame naviazať účinnosť zmluvy s dodávateľom napr. </w:t>
            </w:r>
            <w:r w:rsidR="00B06B26">
              <w:rPr>
                <w:rFonts w:ascii="Arial" w:hAnsi="Arial" w:cs="Arial"/>
                <w:bCs/>
                <w:sz w:val="20"/>
                <w:szCs w:val="20"/>
              </w:rPr>
              <w:t> 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B06B26">
              <w:rPr>
                <w:rFonts w:ascii="Arial" w:hAnsi="Arial" w:cs="Arial"/>
                <w:bCs/>
                <w:sz w:val="20"/>
                <w:szCs w:val="20"/>
              </w:rPr>
              <w:t> 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3A2923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E060F7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122E5C">
              <w:rPr>
                <w:rFonts w:ascii="Arial" w:hAnsi="Arial" w:cs="Arial"/>
                <w:bCs/>
                <w:sz w:val="20"/>
                <w:szCs w:val="20"/>
              </w:rPr>
              <w:t>Príručke</w:t>
            </w:r>
            <w:r w:rsidRPr="00B24E47">
              <w:rPr>
                <w:rFonts w:ascii="Arial" w:hAnsi="Arial" w:cs="Arial"/>
                <w:bCs/>
                <w:sz w:val="20"/>
                <w:szCs w:val="20"/>
              </w:rPr>
              <w:t xml:space="preserve"> k procesu verejného obstarávania, ktorá je dostupná na</w:t>
            </w:r>
            <w:r w:rsidR="00DF0742">
              <w:rPr>
                <w:rFonts w:ascii="Arial" w:hAnsi="Arial" w:cs="Arial"/>
                <w:bCs/>
                <w:sz w:val="20"/>
                <w:szCs w:val="20"/>
              </w:rPr>
              <w:t xml:space="preserve"> </w:t>
            </w:r>
            <w:hyperlink r:id="rId13" w:history="1">
              <w:r w:rsidR="00122E5C"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098C93AA"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ED0D12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186BA941"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lastRenderedPageBreak/>
              <w:t xml:space="preserve">Príručky k procesu verejného obstarávania, ktorá je dostupná na </w:t>
            </w:r>
            <w:hyperlink r:id="rId14" w:history="1">
              <w:r w:rsidR="00C6701E" w:rsidRPr="00FA7A1A">
                <w:rPr>
                  <w:rStyle w:val="Hypertextovprepojenie"/>
                  <w:rFonts w:cs="Arial"/>
                  <w:sz w:val="20"/>
                  <w:szCs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FEC12B1" w14:textId="7548E96B" w:rsidR="00997F82" w:rsidRDefault="00997F82" w:rsidP="00CD453C">
            <w:pPr>
              <w:widowControl w:val="0"/>
              <w:spacing w:before="240" w:after="120" w:line="240" w:lineRule="auto"/>
              <w:ind w:left="85" w:right="85"/>
              <w:jc w:val="both"/>
              <w:rPr>
                <w:rFonts w:ascii="Arial" w:hAnsi="Arial" w:cs="Arial"/>
                <w:b/>
                <w:bCs/>
                <w:sz w:val="20"/>
                <w:szCs w:val="20"/>
              </w:rPr>
            </w:pPr>
          </w:p>
          <w:p w14:paraId="7D5A5E29" w14:textId="092FA0AA"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C6701E">
              <w:rPr>
                <w:rFonts w:ascii="Arial" w:hAnsi="Arial" w:cs="Arial"/>
                <w:bCs/>
                <w:sz w:val="20"/>
                <w:szCs w:val="20"/>
              </w:rPr>
              <w:t xml:space="preserve"> sa predkladá</w:t>
            </w:r>
          </w:p>
          <w:p w14:paraId="0FBCDA4F" w14:textId="6A31C0A3"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r w:rsidR="00C6701E">
              <w:rPr>
                <w:rFonts w:ascii="Arial" w:hAnsi="Arial" w:cs="Arial"/>
                <w:bCs/>
                <w:sz w:val="20"/>
                <w:szCs w:val="20"/>
              </w:rPr>
              <w:t>.</w:t>
            </w:r>
          </w:p>
          <w:p w14:paraId="557C2B43" w14:textId="140F41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9379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77481C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22FAB" w:rsidDel="00722FAB">
              <w:rPr>
                <w:rFonts w:ascii="Arial" w:hAnsi="Arial" w:cs="Arial"/>
                <w:bCs/>
                <w:sz w:val="20"/>
                <w:szCs w:val="20"/>
              </w:rPr>
              <w:t xml:space="preserve"> </w:t>
            </w:r>
            <w:r w:rsidRPr="007609EC">
              <w:rPr>
                <w:rFonts w:ascii="Arial" w:hAnsi="Arial" w:cs="Arial"/>
                <w:bCs/>
                <w:sz w:val="20"/>
                <w:szCs w:val="20"/>
              </w:rPr>
              <w:t>(s výnimkou niektorých údajov</w:t>
            </w:r>
            <w:r w:rsidR="00C31DD9">
              <w:rPr>
                <w:rFonts w:ascii="Arial" w:hAnsi="Arial" w:cs="Arial"/>
                <w:bCs/>
                <w:sz w:val="20"/>
                <w:szCs w:val="20"/>
              </w:rPr>
              <w:t>,</w:t>
            </w:r>
            <w:r w:rsidRPr="007609EC">
              <w:rPr>
                <w:rFonts w:ascii="Arial" w:hAnsi="Arial" w:cs="Arial"/>
                <w:bCs/>
                <w:sz w:val="20"/>
                <w:szCs w:val="20"/>
              </w:rPr>
              <w:t xml:space="preserve">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B541C0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22FAB">
              <w:rPr>
                <w:rFonts w:ascii="Arial" w:hAnsi="Arial" w:cs="Arial"/>
                <w:bCs/>
                <w:sz w:val="20"/>
                <w:szCs w:val="20"/>
              </w:rPr>
              <w:t>.</w:t>
            </w:r>
          </w:p>
          <w:p w14:paraId="0F34D686" w14:textId="228BBF7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22FAB">
              <w:rPr>
                <w:rFonts w:ascii="Arial" w:hAnsi="Arial" w:cs="Arial"/>
                <w:bCs/>
                <w:sz w:val="20"/>
                <w:szCs w:val="20"/>
              </w:rPr>
              <w:t>.</w:t>
            </w:r>
            <w:r w:rsidR="00722FAB" w:rsidDel="00722FAB">
              <w:rPr>
                <w:rFonts w:ascii="Arial" w:hAnsi="Arial" w:cs="Arial"/>
                <w:bCs/>
                <w:sz w:val="20"/>
                <w:szCs w:val="20"/>
              </w:rPr>
              <w:t xml:space="preserve"> </w:t>
            </w:r>
          </w:p>
          <w:p w14:paraId="70B537BC" w14:textId="03056A9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C6701E">
              <w:rPr>
                <w:rFonts w:ascii="Arial" w:hAnsi="Arial" w:cs="Arial"/>
                <w:bCs/>
                <w:sz w:val="20"/>
                <w:szCs w:val="20"/>
              </w:rPr>
              <w:t xml:space="preserve"> Formulár sa predkladá </w:t>
            </w:r>
            <w:r w:rsidR="00C6701E" w:rsidRPr="002C3A60">
              <w:rPr>
                <w:rFonts w:ascii="Arial" w:hAnsi="Arial" w:cs="Arial"/>
                <w:bCs/>
                <w:sz w:val="20"/>
                <w:szCs w:val="20"/>
              </w:rPr>
              <w:t>vo formáte .</w:t>
            </w:r>
            <w:r w:rsidR="00C6701E">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D61DFE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761FD">
              <w:rPr>
                <w:rFonts w:ascii="Arial" w:hAnsi="Arial" w:cs="Arial"/>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29D8ECBC"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01FEBE8B"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r w:rsidR="00C6701E">
              <w:rPr>
                <w:rFonts w:ascii="Arial" w:hAnsi="Arial" w:cs="Arial"/>
                <w:bCs/>
                <w:sz w:val="20"/>
                <w:szCs w:val="20"/>
              </w:rPr>
              <w:t>y</w:t>
            </w:r>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69166DC3"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1515E2">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0ABD9509"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w:t>
            </w:r>
            <w:r>
              <w:rPr>
                <w:rFonts w:ascii="Arial" w:hAnsi="Arial" w:cs="Arial"/>
                <w:bCs/>
                <w:sz w:val="20"/>
                <w:szCs w:val="20"/>
              </w:rPr>
              <w:lastRenderedPageBreak/>
              <w:t>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260B2AE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w:t>
            </w:r>
            <w:r w:rsidR="00B36E47">
              <w:rPr>
                <w:rFonts w:ascii="Arial" w:hAnsi="Arial" w:cs="Arial"/>
                <w:bCs/>
                <w:sz w:val="20"/>
                <w:szCs w:val="20"/>
              </w:rPr>
              <w:t>a</w:t>
            </w:r>
            <w:r w:rsidRPr="00C0521A">
              <w:rPr>
                <w:rFonts w:ascii="Arial" w:hAnsi="Arial" w:cs="Arial"/>
                <w:bCs/>
                <w:sz w:val="20"/>
                <w:szCs w:val="20"/>
              </w:rPr>
              <w:t xml:space="preserv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44D6942B"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505D8C5"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6E47">
              <w:rPr>
                <w:rFonts w:ascii="Arial" w:hAnsi="Arial" w:cs="Arial"/>
                <w:bCs/>
                <w:sz w:val="20"/>
                <w:szCs w:val="20"/>
              </w:rPr>
              <w:t xml:space="preserve"> </w:t>
            </w:r>
            <w:r w:rsidR="00B36E47">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B21E9F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6F1978AD" w14:textId="60D8EB79" w:rsidR="00B36E47" w:rsidRPr="00D01EF0" w:rsidRDefault="00B36E47"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F0D2AF"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B36E47">
              <w:rPr>
                <w:rFonts w:ascii="Arial" w:hAnsi="Arial" w:cs="Arial"/>
                <w:sz w:val="20"/>
                <w:szCs w:val="20"/>
                <w:lang w:eastAsia="en-US"/>
              </w:rPr>
              <w:t>.</w:t>
            </w:r>
          </w:p>
          <w:p w14:paraId="258C5F88" w14:textId="26FD412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2FDE829"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EF48A1">
              <w:rPr>
                <w:rFonts w:ascii="Arial" w:hAnsi="Arial" w:cs="Arial"/>
                <w:bCs/>
                <w:sz w:val="20"/>
                <w:szCs w:val="20"/>
              </w:rPr>
              <w:t>ŽoPr,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1C0350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5C00A7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35F4449"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38CB8D6B"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A0FD232" w14:textId="77777777" w:rsidR="00EF48A1" w:rsidRPr="00EF48A1" w:rsidRDefault="00EF48A1" w:rsidP="00EF48A1">
            <w:pPr>
              <w:widowControl w:val="0"/>
              <w:numPr>
                <w:ilvl w:val="0"/>
                <w:numId w:val="21"/>
              </w:numPr>
              <w:spacing w:before="120" w:after="120" w:line="240" w:lineRule="auto"/>
              <w:ind w:right="85"/>
              <w:jc w:val="both"/>
              <w:rPr>
                <w:rFonts w:ascii="Arial" w:hAnsi="Arial" w:cs="Arial"/>
                <w:bCs/>
                <w:sz w:val="20"/>
                <w:szCs w:val="20"/>
              </w:rPr>
            </w:pPr>
            <w:r w:rsidRPr="00EF48A1">
              <w:rPr>
                <w:rFonts w:ascii="Arial" w:hAnsi="Arial" w:cs="Arial"/>
                <w:bCs/>
                <w:sz w:val="20"/>
                <w:szCs w:val="20"/>
              </w:rPr>
              <w:t xml:space="preserve">V prípade existujúcich líniových stavieb (kanalizácia, vodovod) žiadateľ v časti 10 Formulára ŽoPr čestne vyhlási, že: </w:t>
            </w:r>
          </w:p>
          <w:p w14:paraId="0BFF8B01"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 xml:space="preserve">je oprávnený realizovať projekt; </w:t>
            </w:r>
          </w:p>
          <w:p w14:paraId="658459BC"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 xml:space="preserve">nie sú známe žiadne okolnosti súvisiace s vlastníckymi a užívacími právami k predmetným nehnuteľnostiam, ktoré by mohli predstavovať riziko z hľadiska realizácie projektu </w:t>
            </w:r>
            <w:r w:rsidRPr="00EF48A1">
              <w:rPr>
                <w:rFonts w:ascii="Arial" w:hAnsi="Arial" w:cs="Arial"/>
                <w:bCs/>
                <w:sz w:val="20"/>
                <w:szCs w:val="20"/>
              </w:rPr>
              <w:lastRenderedPageBreak/>
              <w:t>a udržateľnosti výsledkov projektu.</w:t>
            </w:r>
            <w:bookmarkStart w:id="8" w:name="_GoBack"/>
            <w:bookmarkEnd w:id="8"/>
          </w:p>
          <w:p w14:paraId="2A18F9A9" w14:textId="2173803A" w:rsidR="00EF48A1" w:rsidRDefault="00EF48A1" w:rsidP="00EF48A1">
            <w:pPr>
              <w:pStyle w:val="Odsekzoznamu"/>
              <w:widowControl w:val="0"/>
              <w:spacing w:before="240" w:after="120" w:line="240" w:lineRule="auto"/>
              <w:ind w:left="85" w:right="85"/>
              <w:contextualSpacing w:val="0"/>
              <w:jc w:val="both"/>
              <w:rPr>
                <w:rFonts w:ascii="Arial" w:hAnsi="Arial" w:cs="Arial"/>
                <w:bCs/>
                <w:sz w:val="20"/>
                <w:szCs w:val="20"/>
              </w:rPr>
            </w:pPr>
            <w:r w:rsidRPr="00EF48A1">
              <w:rPr>
                <w:rFonts w:ascii="Arial" w:hAnsi="Arial" w:cs="Arial"/>
                <w:bCs/>
                <w:sz w:val="20"/>
                <w:szCs w:val="20"/>
              </w:rPr>
              <w:t>Skutočnosť, že ide o líniovú stavbu musí byť zrejmá zo stavebného povolenia.</w:t>
            </w:r>
          </w:p>
          <w:p w14:paraId="4AC75053" w14:textId="3D5CBF0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101E7E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39DA483" w14:textId="22F46FD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p>
          <w:p w14:paraId="01BD1ECB" w14:textId="045431AE" w:rsidR="00997F82" w:rsidRPr="00D01EF0" w:rsidRDefault="00EF48A1"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a</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D02A17A"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w:t>
            </w:r>
            <w:r w:rsidR="00EF48A1">
              <w:rPr>
                <w:sz w:val="20"/>
                <w:szCs w:val="20"/>
              </w:rPr>
              <w:t>y</w:t>
            </w:r>
            <w:r w:rsidR="00997F82" w:rsidRPr="00D01EF0">
              <w:rPr>
                <w:sz w:val="20"/>
                <w:szCs w:val="20"/>
              </w:rPr>
              <w:t xml:space="preserve">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7A757D47"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8CD459C"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B25289" w:rsidRPr="005761FD">
        <w:rPr>
          <w:sz w:val="20"/>
          <w:szCs w:val="20"/>
        </w:rPr>
        <w:t>(prílohy sa predkladajú ako obyčajné kópie originálov, pričom žiadateľ uchováva originály u seba pre účely prípadných kontrol)</w:t>
      </w:r>
      <w:r w:rsidR="00B25289">
        <w:rPr>
          <w:sz w:val="20"/>
        </w:rPr>
        <w:t xml:space="preserve"> </w:t>
      </w:r>
      <w:r w:rsidRPr="003F3414">
        <w:rPr>
          <w:sz w:val="20"/>
        </w:rPr>
        <w:t>a uloží elektronické verzie formulára ŽoPr a príloh na elektronické neprepisovateľné médium (CD/DVD</w:t>
      </w:r>
      <w:r w:rsidRPr="00B25289">
        <w:rPr>
          <w:sz w:val="20"/>
          <w:szCs w:val="20"/>
        </w:rPr>
        <w:t>).</w:t>
      </w:r>
      <w:r w:rsidR="00B25289" w:rsidRPr="00B25289">
        <w:rPr>
          <w:sz w:val="20"/>
          <w:szCs w:val="20"/>
        </w:rPr>
        <w:t xml:space="preserve"> </w:t>
      </w:r>
      <w:r w:rsidR="00B25289" w:rsidRPr="005761FD">
        <w:rPr>
          <w:sz w:val="20"/>
          <w:szCs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DFBE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F5B0F">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5203A46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B25289">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EB79171" w14:textId="631717B1" w:rsidR="00997F82" w:rsidRPr="003F3414" w:rsidRDefault="00722FAB"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 xml:space="preserve">Občianske združenie </w:t>
      </w:r>
      <w:r w:rsidR="00FF4AF7">
        <w:rPr>
          <w:rFonts w:ascii="Arial" w:hAnsi="Arial" w:cs="Arial"/>
          <w:sz w:val="20"/>
          <w:szCs w:val="20"/>
        </w:rPr>
        <w:t>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41AD5F9"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F4AF7">
        <w:rPr>
          <w:rFonts w:ascii="Arial" w:hAnsi="Arial" w:cs="Arial"/>
          <w:sz w:val="20"/>
          <w:szCs w:val="20"/>
        </w:rPr>
        <w:t>počas pracovných dní v čase od 8:00 hod. do 15:00 hod.</w:t>
      </w:r>
      <w:r w:rsidR="00FF4AF7"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0C824B1"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B25289">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lastRenderedPageBreak/>
              <w:t>Schvaľovanie ŽoPr</w:t>
            </w:r>
          </w:p>
        </w:tc>
      </w:tr>
    </w:tbl>
    <w:p w14:paraId="0A653761" w14:textId="3752C9A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3F5B0F">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r w:rsidR="003F5B0F">
        <w:rPr>
          <w:rFonts w:ascii="Arial" w:eastAsiaTheme="minorHAnsi" w:hAnsi="Arial" w:cs="Arial"/>
          <w:color w:val="000000"/>
          <w:sz w:val="20"/>
          <w:lang w:eastAsia="en-US"/>
        </w:rPr>
        <w:t>:</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03BB2852"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3E06739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188CF1E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228C51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11D061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5B0F">
        <w:rPr>
          <w:rFonts w:ascii="Arial" w:eastAsiaTheme="minorHAnsi" w:hAnsi="Arial" w:cs="Arial"/>
          <w:color w:val="000000"/>
          <w:sz w:val="20"/>
          <w:lang w:eastAsia="en-US"/>
        </w:rPr>
        <w:t>Ž</w:t>
      </w:r>
      <w:r w:rsidR="003F5B0F"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563E5">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2D5FFEEB" w:rsidR="00997F82"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56C33E68" w14:textId="77777777" w:rsidR="00FF4AF7" w:rsidRPr="003F3414" w:rsidRDefault="00FF4AF7" w:rsidP="002563E5">
      <w:pPr>
        <w:pStyle w:val="Odsekzoznamu"/>
        <w:autoSpaceDE w:val="0"/>
        <w:autoSpaceDN w:val="0"/>
        <w:adjustRightInd w:val="0"/>
        <w:spacing w:before="120" w:after="120" w:line="240" w:lineRule="auto"/>
        <w:ind w:left="709"/>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17EEC21"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r w:rsidR="003F5B0F" w:rsidRPr="003F3414">
        <w:rPr>
          <w:rFonts w:ascii="Arial" w:eastAsia="Calibri" w:hAnsi="Arial" w:cs="Arial"/>
          <w:sz w:val="20"/>
        </w:rPr>
        <w:t>Žo</w:t>
      </w:r>
      <w:r w:rsidR="003F5B0F">
        <w:rPr>
          <w:rFonts w:ascii="Arial" w:eastAsia="Calibri" w:hAnsi="Arial" w:cs="Arial"/>
          <w:sz w:val="20"/>
        </w:rPr>
        <w:t>Pr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272143F7" w14:textId="4934897E" w:rsidR="00FF4AF7"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00A7F4CD" w:rsidR="00997F82" w:rsidRPr="008E3991" w:rsidRDefault="003F5B0F"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w:t>
      </w:r>
      <w:r>
        <w:rPr>
          <w:rFonts w:ascii="Arial" w:hAnsi="Arial" w:cs="Arial"/>
          <w:sz w:val="20"/>
          <w:szCs w:val="20"/>
        </w:rPr>
        <w:t>kritérium je</w:t>
      </w:r>
      <w:r w:rsidR="00997F82" w:rsidRPr="008E3991">
        <w:rPr>
          <w:rFonts w:ascii="Arial" w:hAnsi="Arial" w:cs="Arial"/>
          <w:sz w:val="20"/>
          <w:szCs w:val="20"/>
        </w:rPr>
        <w:t>:</w:t>
      </w:r>
    </w:p>
    <w:p w14:paraId="4873EE9A" w14:textId="3CAA8C4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FF4AF7">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5D3B4C9"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ŽoPr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71C50C84" w14:textId="7F8B95E3" w:rsidR="001462AD"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63D8DE73"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11DABF71" w14:textId="77777777" w:rsidR="00FF4AF7" w:rsidRPr="005761FD" w:rsidRDefault="00FF4AF7" w:rsidP="005761FD">
      <w:pPr>
        <w:autoSpaceDE w:val="0"/>
        <w:autoSpaceDN w:val="0"/>
        <w:adjustRightInd w:val="0"/>
        <w:spacing w:before="120" w:after="120" w:line="240" w:lineRule="auto"/>
        <w:rPr>
          <w:rFonts w:ascii="Arial" w:eastAsiaTheme="minorHAnsi" w:hAnsi="Arial" w:cs="Arial"/>
          <w:color w:val="000000"/>
          <w:sz w:val="20"/>
          <w:lang w:eastAsia="en-US"/>
        </w:rPr>
      </w:pPr>
    </w:p>
    <w:p w14:paraId="0E4E886C" w14:textId="77777777" w:rsidR="00997F82" w:rsidRPr="00901A56" w:rsidRDefault="00997F82" w:rsidP="002563E5">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5CB8A0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042470F7" w14:textId="56771FFE" w:rsidR="003F5B0F" w:rsidRPr="003F3414" w:rsidRDefault="00997F82" w:rsidP="00FF6C9B">
      <w:pPr>
        <w:spacing w:before="240" w:after="24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06DB080" w:rsidR="00997F82" w:rsidRPr="00DD103D" w:rsidRDefault="00997F82" w:rsidP="001462AD">
      <w:pPr>
        <w:spacing w:before="80"/>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6" w:history="1">
        <w:r w:rsidR="00B6203D" w:rsidRPr="005761FD">
          <w:rPr>
            <w:rStyle w:val="Hypertextovprepojenie"/>
            <w:rFonts w:cs="Arial"/>
            <w:sz w:val="20"/>
            <w:szCs w:val="20"/>
          </w:rPr>
          <w:t>https://www.mirri.gov.sk/mpsr/irop-programove-obdobie-2014-2020/clld/programove-dokumenty/vzory/vzor-zmluvy-o-prispevok/index.html</w:t>
        </w:r>
      </w:hyperlink>
      <w:r w:rsidR="00FF4AF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BE44646"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EE530B" w:rsidRPr="005761FD">
        <w:rPr>
          <w:color w:val="auto"/>
          <w:sz w:val="20"/>
          <w:szCs w:val="20"/>
        </w:rPr>
        <w:t>pričom zmena sa nesmie týkať hodnotiaceho kola, v rámci ktorého už MAS vydala oznámenia o schválení alebo neschválení ŽoPr</w:t>
      </w:r>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3F68B649"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B182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Poskytovanie informácií </w:t>
            </w:r>
          </w:p>
        </w:tc>
      </w:tr>
    </w:tbl>
    <w:p w14:paraId="6A8007CE" w14:textId="4AB14DF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FF4AF7" w:rsidRPr="00FF4AF7">
          <w:rPr>
            <w:rStyle w:val="Hypertextovprepojenie"/>
            <w:rFonts w:cs="Arial"/>
            <w:spacing w:val="-3"/>
            <w:sz w:val="20"/>
            <w:szCs w:val="20"/>
          </w:rPr>
          <w:t>http://masdukla.sk/index.php/vyzvy/vyzvy-irop</w:t>
        </w:r>
      </w:hyperlink>
      <w:r w:rsidR="00FF4AF7">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0F0897C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r w:rsidR="00FF4AF7">
        <w:rPr>
          <w:rFonts w:ascii="Arial" w:hAnsi="Arial" w:cs="Arial"/>
          <w:spacing w:val="-3"/>
          <w:sz w:val="20"/>
          <w:szCs w:val="20"/>
        </w:rPr>
        <w:t>.</w:t>
      </w:r>
    </w:p>
    <w:p w14:paraId="57FCE7FF" w14:textId="309ACEA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F4AF7">
        <w:rPr>
          <w:rFonts w:ascii="Arial" w:hAnsi="Arial" w:cs="Arial"/>
          <w:spacing w:val="-3"/>
          <w:sz w:val="20"/>
          <w:szCs w:val="20"/>
        </w:rPr>
        <w:t xml:space="preserve"> masdukla@masdukla.sk</w:t>
      </w:r>
      <w:r w:rsidR="00CF70AA">
        <w:rPr>
          <w:rFonts w:ascii="Arial" w:hAnsi="Arial" w:cs="Arial"/>
          <w:spacing w:val="-3"/>
          <w:sz w:val="20"/>
          <w:szCs w:val="20"/>
        </w:rPr>
        <w:t>.</w:t>
      </w:r>
    </w:p>
    <w:p w14:paraId="1C5D0239" w14:textId="32CCC0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3F5B0F">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B182C">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29DDCA45" w:rsidR="00997F82" w:rsidRDefault="00997F82" w:rsidP="00FF6C9B">
      <w:pPr>
        <w:spacing w:before="240" w:after="240" w:line="240" w:lineRule="auto"/>
        <w:jc w:val="both"/>
        <w:rPr>
          <w:rFonts w:ascii="Arial" w:hAnsi="Arial" w:cs="Arial"/>
          <w:sz w:val="20"/>
        </w:rPr>
      </w:pPr>
    </w:p>
    <w:p w14:paraId="3CA57C34" w14:textId="77777777" w:rsidR="00643FD0" w:rsidRPr="00696061" w:rsidRDefault="00643FD0"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B182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Prílohy výzvy</w:t>
            </w:r>
          </w:p>
        </w:tc>
      </w:tr>
    </w:tbl>
    <w:p w14:paraId="09AE3F7F" w14:textId="7B180C3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3F5B0F">
        <w:rPr>
          <w:rFonts w:ascii="Arial" w:hAnsi="Arial" w:cs="Arial"/>
          <w:bCs/>
          <w:iCs/>
          <w:sz w:val="20"/>
          <w:szCs w:val="19"/>
        </w:rPr>
        <w:t>ŽoPr</w:t>
      </w:r>
      <w:r w:rsidRPr="003F3414">
        <w:rPr>
          <w:rFonts w:ascii="Arial" w:hAnsi="Arial" w:cs="Arial"/>
          <w:bCs/>
          <w:iCs/>
          <w:sz w:val="20"/>
          <w:szCs w:val="19"/>
        </w:rPr>
        <w:t>),</w:t>
      </w:r>
    </w:p>
    <w:p w14:paraId="7CC6A5F4" w14:textId="5933A6E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EE530B">
        <w:rPr>
          <w:rFonts w:ascii="Arial" w:hAnsi="Arial" w:cs="Arial"/>
          <w:bCs/>
          <w:iCs/>
          <w:sz w:val="20"/>
          <w:szCs w:val="19"/>
        </w:rPr>
        <w:t>ej</w:t>
      </w:r>
      <w:r w:rsidRPr="003F3414">
        <w:rPr>
          <w:rFonts w:ascii="Arial" w:hAnsi="Arial" w:cs="Arial"/>
          <w:bCs/>
          <w:iCs/>
          <w:sz w:val="20"/>
          <w:szCs w:val="19"/>
        </w:rPr>
        <w:t xml:space="preserve"> aktiv</w:t>
      </w:r>
      <w:r w:rsidR="00EE530B">
        <w:rPr>
          <w:rFonts w:ascii="Arial" w:hAnsi="Arial" w:cs="Arial"/>
          <w:bCs/>
          <w:iCs/>
          <w:sz w:val="20"/>
          <w:szCs w:val="19"/>
        </w:rPr>
        <w:t>i</w:t>
      </w:r>
      <w:r w:rsidRPr="003F3414">
        <w:rPr>
          <w:rFonts w:ascii="Arial" w:hAnsi="Arial" w:cs="Arial"/>
          <w:bCs/>
          <w:iCs/>
          <w:sz w:val="20"/>
          <w:szCs w:val="19"/>
        </w:rPr>
        <w:t>t</w:t>
      </w:r>
      <w:r w:rsidR="00EE530B">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0AFF5E" w16cid:durableId="27B20D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9F955" w14:textId="77777777" w:rsidR="00ED5183" w:rsidRDefault="00ED5183" w:rsidP="00997F82">
      <w:pPr>
        <w:spacing w:after="0" w:line="240" w:lineRule="auto"/>
      </w:pPr>
      <w:r>
        <w:separator/>
      </w:r>
    </w:p>
  </w:endnote>
  <w:endnote w:type="continuationSeparator" w:id="0">
    <w:p w14:paraId="7BA9B682" w14:textId="77777777" w:rsidR="00ED5183" w:rsidRDefault="00ED5183"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38E5D23C" w:rsidR="00557C8B" w:rsidRPr="000B630C" w:rsidRDefault="00557C8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0575FE">
          <w:rPr>
            <w:rFonts w:ascii="Arial" w:hAnsi="Arial" w:cs="Arial"/>
            <w:noProof/>
            <w:sz w:val="20"/>
            <w:szCs w:val="20"/>
          </w:rPr>
          <w:t>22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557C8B" w:rsidRDefault="00557C8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57C8B" w:rsidRDefault="00557C8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6DF07" w14:textId="77777777" w:rsidR="00ED5183" w:rsidRDefault="00ED5183" w:rsidP="00997F82">
      <w:pPr>
        <w:spacing w:after="0" w:line="240" w:lineRule="auto"/>
      </w:pPr>
      <w:r>
        <w:separator/>
      </w:r>
    </w:p>
  </w:footnote>
  <w:footnote w:type="continuationSeparator" w:id="0">
    <w:p w14:paraId="5419129D" w14:textId="77777777" w:rsidR="00ED5183" w:rsidRDefault="00ED5183" w:rsidP="00997F82">
      <w:pPr>
        <w:spacing w:after="0" w:line="240" w:lineRule="auto"/>
      </w:pPr>
      <w:r>
        <w:continuationSeparator/>
      </w:r>
    </w:p>
  </w:footnote>
  <w:footnote w:id="1">
    <w:p w14:paraId="03877824" w14:textId="77777777" w:rsidR="00557C8B" w:rsidRPr="00FA7A1A" w:rsidRDefault="00557C8B" w:rsidP="0030645D">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557C8B" w:rsidRPr="003F3414" w:rsidRDefault="00557C8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73EDBCA1" w:rsidR="00557C8B" w:rsidRPr="001F013A" w:rsidRDefault="00557C8B"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28685F12">
          <wp:simplePos x="0" y="0"/>
          <wp:positionH relativeFrom="column">
            <wp:posOffset>1322705</wp:posOffset>
          </wp:positionH>
          <wp:positionV relativeFrom="paragraph">
            <wp:posOffset>-42545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18A898E4" wp14:editId="61BC176C">
          <wp:simplePos x="0" y="0"/>
          <wp:positionH relativeFrom="column">
            <wp:posOffset>175260</wp:posOffset>
          </wp:positionH>
          <wp:positionV relativeFrom="paragraph">
            <wp:posOffset>-120015</wp:posOffset>
          </wp:positionV>
          <wp:extent cx="527050" cy="476250"/>
          <wp:effectExtent l="0" t="0" r="6350" b="0"/>
          <wp:wrapThrough wrapText="bothSides">
            <wp:wrapPolygon edited="0">
              <wp:start x="0" y="0"/>
              <wp:lineTo x="0" y="20736"/>
              <wp:lineTo x="21080" y="20736"/>
              <wp:lineTo x="21080" y="0"/>
              <wp:lineTo x="0" y="0"/>
            </wp:wrapPolygon>
          </wp:wrapThrough>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7050" cy="47625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F8B20AE">
          <wp:simplePos x="0" y="0"/>
          <wp:positionH relativeFrom="column">
            <wp:posOffset>4437380</wp:posOffset>
          </wp:positionH>
          <wp:positionV relativeFrom="paragraph">
            <wp:posOffset>-46355</wp:posOffset>
          </wp:positionV>
          <wp:extent cx="1638300" cy="457200"/>
          <wp:effectExtent l="0" t="0" r="0" b="0"/>
          <wp:wrapTight wrapText="bothSides">
            <wp:wrapPolygon edited="0">
              <wp:start x="0" y="0"/>
              <wp:lineTo x="0" y="20700"/>
              <wp:lineTo x="21349" y="20700"/>
              <wp:lineTo x="21349"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760B39F7" wp14:editId="2E72AABB">
          <wp:simplePos x="0" y="0"/>
          <wp:positionH relativeFrom="column">
            <wp:posOffset>2302510</wp:posOffset>
          </wp:positionH>
          <wp:positionV relativeFrom="paragraph">
            <wp:posOffset>-234315</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5" name="Obrázek 83"/>
          <wp:cNvGraphicFramePr/>
          <a:graphic xmlns:a="http://schemas.openxmlformats.org/drawingml/2006/main">
            <a:graphicData uri="http://schemas.openxmlformats.org/drawingml/2006/picture">
              <pic:pic xmlns:pic="http://schemas.openxmlformats.org/drawingml/2006/picture">
                <pic:nvPicPr>
                  <pic:cNvPr id="83" name="Obrázek 8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p>
  <w:p w14:paraId="4E4AC70A" w14:textId="097F3376" w:rsidR="00557C8B" w:rsidRDefault="00557C8B" w:rsidP="00DD3EE2">
    <w:pPr>
      <w:pStyle w:val="Hlavika"/>
    </w:pPr>
  </w:p>
  <w:p w14:paraId="25C2BAF4" w14:textId="77777777" w:rsidR="00557C8B" w:rsidRPr="00FC401E" w:rsidRDefault="00557C8B"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1E4225B8"/>
    <w:lvl w:ilvl="0" w:tplc="4C280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3CEA53FC"/>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25DF"/>
    <w:rsid w:val="000041EE"/>
    <w:rsid w:val="000123A1"/>
    <w:rsid w:val="00014B73"/>
    <w:rsid w:val="00016DEA"/>
    <w:rsid w:val="00035492"/>
    <w:rsid w:val="000422E2"/>
    <w:rsid w:val="000432D7"/>
    <w:rsid w:val="00053141"/>
    <w:rsid w:val="00054DF5"/>
    <w:rsid w:val="000569D6"/>
    <w:rsid w:val="000575FE"/>
    <w:rsid w:val="00066F24"/>
    <w:rsid w:val="0007610E"/>
    <w:rsid w:val="00081FA8"/>
    <w:rsid w:val="0008289A"/>
    <w:rsid w:val="000856E1"/>
    <w:rsid w:val="00094728"/>
    <w:rsid w:val="000B19BE"/>
    <w:rsid w:val="000C70A1"/>
    <w:rsid w:val="000E1177"/>
    <w:rsid w:val="000E6FF9"/>
    <w:rsid w:val="000F221D"/>
    <w:rsid w:val="000F2A65"/>
    <w:rsid w:val="000F55AF"/>
    <w:rsid w:val="00103168"/>
    <w:rsid w:val="00103E98"/>
    <w:rsid w:val="00116361"/>
    <w:rsid w:val="00122E5C"/>
    <w:rsid w:val="00125FDE"/>
    <w:rsid w:val="001462AD"/>
    <w:rsid w:val="001515E2"/>
    <w:rsid w:val="001646D2"/>
    <w:rsid w:val="00167F93"/>
    <w:rsid w:val="001805B6"/>
    <w:rsid w:val="00182D10"/>
    <w:rsid w:val="00183133"/>
    <w:rsid w:val="00183589"/>
    <w:rsid w:val="001856CF"/>
    <w:rsid w:val="001B7788"/>
    <w:rsid w:val="001C2252"/>
    <w:rsid w:val="001C2AC7"/>
    <w:rsid w:val="001C383A"/>
    <w:rsid w:val="001C748B"/>
    <w:rsid w:val="001D7706"/>
    <w:rsid w:val="00200A91"/>
    <w:rsid w:val="00212DBB"/>
    <w:rsid w:val="002245DF"/>
    <w:rsid w:val="00224BA7"/>
    <w:rsid w:val="002319F5"/>
    <w:rsid w:val="00236E5C"/>
    <w:rsid w:val="00250F6C"/>
    <w:rsid w:val="00253953"/>
    <w:rsid w:val="002563E5"/>
    <w:rsid w:val="00257130"/>
    <w:rsid w:val="002644F7"/>
    <w:rsid w:val="00293426"/>
    <w:rsid w:val="002A08B8"/>
    <w:rsid w:val="002B527B"/>
    <w:rsid w:val="002E1ED1"/>
    <w:rsid w:val="002E28DA"/>
    <w:rsid w:val="00305762"/>
    <w:rsid w:val="0030645D"/>
    <w:rsid w:val="00310133"/>
    <w:rsid w:val="00316374"/>
    <w:rsid w:val="00321B9D"/>
    <w:rsid w:val="00327CFB"/>
    <w:rsid w:val="00330781"/>
    <w:rsid w:val="003357FD"/>
    <w:rsid w:val="003530D0"/>
    <w:rsid w:val="00374B3F"/>
    <w:rsid w:val="00377989"/>
    <w:rsid w:val="003872A3"/>
    <w:rsid w:val="00392626"/>
    <w:rsid w:val="003A1083"/>
    <w:rsid w:val="003A3D35"/>
    <w:rsid w:val="003A4993"/>
    <w:rsid w:val="003B05C3"/>
    <w:rsid w:val="003B182C"/>
    <w:rsid w:val="003B255F"/>
    <w:rsid w:val="003B7B1F"/>
    <w:rsid w:val="003C1560"/>
    <w:rsid w:val="003D38DE"/>
    <w:rsid w:val="003D39D0"/>
    <w:rsid w:val="003E5F37"/>
    <w:rsid w:val="003E6697"/>
    <w:rsid w:val="003F1701"/>
    <w:rsid w:val="003F2378"/>
    <w:rsid w:val="003F5B0F"/>
    <w:rsid w:val="00421F08"/>
    <w:rsid w:val="004461E5"/>
    <w:rsid w:val="00451BD9"/>
    <w:rsid w:val="004530CF"/>
    <w:rsid w:val="00462019"/>
    <w:rsid w:val="00463F92"/>
    <w:rsid w:val="00481344"/>
    <w:rsid w:val="00486F22"/>
    <w:rsid w:val="00490EF0"/>
    <w:rsid w:val="00494E5F"/>
    <w:rsid w:val="004B5BF7"/>
    <w:rsid w:val="004C09DA"/>
    <w:rsid w:val="004D69B3"/>
    <w:rsid w:val="004D750A"/>
    <w:rsid w:val="004F2ED1"/>
    <w:rsid w:val="004F5A36"/>
    <w:rsid w:val="004F7821"/>
    <w:rsid w:val="00511572"/>
    <w:rsid w:val="005126D6"/>
    <w:rsid w:val="00514242"/>
    <w:rsid w:val="0052111F"/>
    <w:rsid w:val="00531ECE"/>
    <w:rsid w:val="00535638"/>
    <w:rsid w:val="00543C90"/>
    <w:rsid w:val="005467E6"/>
    <w:rsid w:val="00556E68"/>
    <w:rsid w:val="00557C8B"/>
    <w:rsid w:val="005609FD"/>
    <w:rsid w:val="005760CC"/>
    <w:rsid w:val="005761FD"/>
    <w:rsid w:val="00594E54"/>
    <w:rsid w:val="00595B92"/>
    <w:rsid w:val="00597A23"/>
    <w:rsid w:val="005B3A2C"/>
    <w:rsid w:val="005E1D0E"/>
    <w:rsid w:val="006073BA"/>
    <w:rsid w:val="00610AD3"/>
    <w:rsid w:val="00617D9B"/>
    <w:rsid w:val="00643184"/>
    <w:rsid w:val="00643FD0"/>
    <w:rsid w:val="00651FC4"/>
    <w:rsid w:val="00661A23"/>
    <w:rsid w:val="00671385"/>
    <w:rsid w:val="00685E8E"/>
    <w:rsid w:val="00686DC9"/>
    <w:rsid w:val="0068722F"/>
    <w:rsid w:val="00687273"/>
    <w:rsid w:val="00693C31"/>
    <w:rsid w:val="00696061"/>
    <w:rsid w:val="00697BFC"/>
    <w:rsid w:val="006A048B"/>
    <w:rsid w:val="006A254A"/>
    <w:rsid w:val="006A27D3"/>
    <w:rsid w:val="006A2B96"/>
    <w:rsid w:val="006A581A"/>
    <w:rsid w:val="006C54ED"/>
    <w:rsid w:val="006D0AAF"/>
    <w:rsid w:val="006D3348"/>
    <w:rsid w:val="006E18E5"/>
    <w:rsid w:val="00701A7A"/>
    <w:rsid w:val="007100C9"/>
    <w:rsid w:val="00722FAB"/>
    <w:rsid w:val="0073242F"/>
    <w:rsid w:val="00733FAA"/>
    <w:rsid w:val="007418F9"/>
    <w:rsid w:val="00754D3C"/>
    <w:rsid w:val="00774C45"/>
    <w:rsid w:val="00780F81"/>
    <w:rsid w:val="007B24F9"/>
    <w:rsid w:val="007D58CE"/>
    <w:rsid w:val="00802379"/>
    <w:rsid w:val="00803FFD"/>
    <w:rsid w:val="00812725"/>
    <w:rsid w:val="008161CF"/>
    <w:rsid w:val="0083548F"/>
    <w:rsid w:val="00843399"/>
    <w:rsid w:val="00843C6F"/>
    <w:rsid w:val="00850CE7"/>
    <w:rsid w:val="008526AF"/>
    <w:rsid w:val="008644F8"/>
    <w:rsid w:val="008815E4"/>
    <w:rsid w:val="00882C9E"/>
    <w:rsid w:val="008B7486"/>
    <w:rsid w:val="008C79C6"/>
    <w:rsid w:val="008E4E7C"/>
    <w:rsid w:val="008F6CAA"/>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136F3"/>
    <w:rsid w:val="00A26432"/>
    <w:rsid w:val="00A26944"/>
    <w:rsid w:val="00A55D6C"/>
    <w:rsid w:val="00A57C24"/>
    <w:rsid w:val="00A61476"/>
    <w:rsid w:val="00A64CD7"/>
    <w:rsid w:val="00A70A2A"/>
    <w:rsid w:val="00A90A85"/>
    <w:rsid w:val="00AA39B6"/>
    <w:rsid w:val="00AB07F9"/>
    <w:rsid w:val="00AD4007"/>
    <w:rsid w:val="00AD7478"/>
    <w:rsid w:val="00AD7FDE"/>
    <w:rsid w:val="00AE3E2B"/>
    <w:rsid w:val="00AE641C"/>
    <w:rsid w:val="00B049ED"/>
    <w:rsid w:val="00B06B26"/>
    <w:rsid w:val="00B12C25"/>
    <w:rsid w:val="00B25289"/>
    <w:rsid w:val="00B336CA"/>
    <w:rsid w:val="00B366DA"/>
    <w:rsid w:val="00B36E47"/>
    <w:rsid w:val="00B40CA1"/>
    <w:rsid w:val="00B43666"/>
    <w:rsid w:val="00B43B53"/>
    <w:rsid w:val="00B6030D"/>
    <w:rsid w:val="00B6203D"/>
    <w:rsid w:val="00B673F2"/>
    <w:rsid w:val="00B764E8"/>
    <w:rsid w:val="00B830C6"/>
    <w:rsid w:val="00B8659A"/>
    <w:rsid w:val="00B90DC6"/>
    <w:rsid w:val="00BA682A"/>
    <w:rsid w:val="00BC0A5E"/>
    <w:rsid w:val="00BC3837"/>
    <w:rsid w:val="00BE2A50"/>
    <w:rsid w:val="00BF3173"/>
    <w:rsid w:val="00BF6C3A"/>
    <w:rsid w:val="00C035C3"/>
    <w:rsid w:val="00C04A44"/>
    <w:rsid w:val="00C12711"/>
    <w:rsid w:val="00C31DD9"/>
    <w:rsid w:val="00C4320F"/>
    <w:rsid w:val="00C473E6"/>
    <w:rsid w:val="00C544B0"/>
    <w:rsid w:val="00C65504"/>
    <w:rsid w:val="00C6701E"/>
    <w:rsid w:val="00C72A19"/>
    <w:rsid w:val="00C74CBB"/>
    <w:rsid w:val="00C83715"/>
    <w:rsid w:val="00C94378"/>
    <w:rsid w:val="00C94603"/>
    <w:rsid w:val="00C94CE1"/>
    <w:rsid w:val="00CA18C8"/>
    <w:rsid w:val="00CA2A81"/>
    <w:rsid w:val="00CB3F8E"/>
    <w:rsid w:val="00CB586F"/>
    <w:rsid w:val="00CC43EE"/>
    <w:rsid w:val="00CD453C"/>
    <w:rsid w:val="00CE2432"/>
    <w:rsid w:val="00CF70AA"/>
    <w:rsid w:val="00D040A2"/>
    <w:rsid w:val="00D05A50"/>
    <w:rsid w:val="00D820A6"/>
    <w:rsid w:val="00D82CE8"/>
    <w:rsid w:val="00D83861"/>
    <w:rsid w:val="00D9211A"/>
    <w:rsid w:val="00DA0A9A"/>
    <w:rsid w:val="00DD26C9"/>
    <w:rsid w:val="00DD3A6A"/>
    <w:rsid w:val="00DD3EE2"/>
    <w:rsid w:val="00DE15CD"/>
    <w:rsid w:val="00DF0742"/>
    <w:rsid w:val="00DF122D"/>
    <w:rsid w:val="00E0368D"/>
    <w:rsid w:val="00E101C8"/>
    <w:rsid w:val="00E107AA"/>
    <w:rsid w:val="00E17B5A"/>
    <w:rsid w:val="00E27005"/>
    <w:rsid w:val="00E30379"/>
    <w:rsid w:val="00E316F5"/>
    <w:rsid w:val="00E54587"/>
    <w:rsid w:val="00E60334"/>
    <w:rsid w:val="00E80469"/>
    <w:rsid w:val="00E84F1B"/>
    <w:rsid w:val="00E93DC7"/>
    <w:rsid w:val="00E9610F"/>
    <w:rsid w:val="00EA155E"/>
    <w:rsid w:val="00EB65C0"/>
    <w:rsid w:val="00ED5183"/>
    <w:rsid w:val="00EE0748"/>
    <w:rsid w:val="00EE4585"/>
    <w:rsid w:val="00EE530B"/>
    <w:rsid w:val="00EF2E95"/>
    <w:rsid w:val="00EF48A1"/>
    <w:rsid w:val="00F100CA"/>
    <w:rsid w:val="00F23F27"/>
    <w:rsid w:val="00F3135A"/>
    <w:rsid w:val="00F34153"/>
    <w:rsid w:val="00F413B2"/>
    <w:rsid w:val="00F61F89"/>
    <w:rsid w:val="00F671AB"/>
    <w:rsid w:val="00F8335C"/>
    <w:rsid w:val="00FA3B32"/>
    <w:rsid w:val="00FA5B22"/>
    <w:rsid w:val="00FA6E7A"/>
    <w:rsid w:val="00FB0591"/>
    <w:rsid w:val="00FB4919"/>
    <w:rsid w:val="00FB755C"/>
    <w:rsid w:val="00FD07A2"/>
    <w:rsid w:val="00FF15E0"/>
    <w:rsid w:val="00FF4AF7"/>
    <w:rsid w:val="00FF6C9B"/>
    <w:rsid w:val="00FF74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327CFB"/>
    <w:rPr>
      <w:color w:val="605E5C"/>
      <w:shd w:val="clear" w:color="auto" w:fill="E1DFDD"/>
    </w:rPr>
  </w:style>
  <w:style w:type="character" w:customStyle="1" w:styleId="Nevyrieenzmienka3">
    <w:name w:val="Nevyriešená zmienka3"/>
    <w:basedOn w:val="Predvolenpsmoodseku"/>
    <w:uiPriority w:val="99"/>
    <w:semiHidden/>
    <w:unhideWhenUsed/>
    <w:rsid w:val="00C94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masdukla.sk/index.php/vyzvy/vyzvy-irop"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vzory/vzor-zmluvy-o-prispevok/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B88A1D0CBABF41EDB246F8D8021F3EAE"/>
        <w:category>
          <w:name w:val="Všeobecné"/>
          <w:gallery w:val="placeholder"/>
        </w:category>
        <w:types>
          <w:type w:val="bbPlcHdr"/>
        </w:types>
        <w:behaviors>
          <w:behavior w:val="content"/>
        </w:behaviors>
        <w:guid w:val="{6EB15558-4D40-4634-A340-A636B2BF29CE}"/>
      </w:docPartPr>
      <w:docPartBody>
        <w:p w:rsidR="00226AC6" w:rsidRDefault="00A424B4" w:rsidP="00A424B4">
          <w:pPr>
            <w:pStyle w:val="B88A1D0CBABF41EDB246F8D8021F3EAE"/>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612"/>
    <w:rsid w:val="0002167D"/>
    <w:rsid w:val="00030156"/>
    <w:rsid w:val="000408D7"/>
    <w:rsid w:val="000E2AB8"/>
    <w:rsid w:val="000F1FD4"/>
    <w:rsid w:val="00205504"/>
    <w:rsid w:val="00226AC6"/>
    <w:rsid w:val="002441E6"/>
    <w:rsid w:val="00261F37"/>
    <w:rsid w:val="002970F8"/>
    <w:rsid w:val="00301556"/>
    <w:rsid w:val="00372133"/>
    <w:rsid w:val="00375A98"/>
    <w:rsid w:val="003A1B62"/>
    <w:rsid w:val="003C5B56"/>
    <w:rsid w:val="003F03A5"/>
    <w:rsid w:val="00400417"/>
    <w:rsid w:val="00404A91"/>
    <w:rsid w:val="00424257"/>
    <w:rsid w:val="004B348D"/>
    <w:rsid w:val="004E2BCA"/>
    <w:rsid w:val="004F2CDE"/>
    <w:rsid w:val="00504897"/>
    <w:rsid w:val="00562C21"/>
    <w:rsid w:val="005B17C2"/>
    <w:rsid w:val="00621A85"/>
    <w:rsid w:val="00636E10"/>
    <w:rsid w:val="006B1332"/>
    <w:rsid w:val="00773F9C"/>
    <w:rsid w:val="0084597A"/>
    <w:rsid w:val="00944C98"/>
    <w:rsid w:val="00956837"/>
    <w:rsid w:val="00984C9D"/>
    <w:rsid w:val="009C31CF"/>
    <w:rsid w:val="00A24729"/>
    <w:rsid w:val="00A30B05"/>
    <w:rsid w:val="00A424B4"/>
    <w:rsid w:val="00A46377"/>
    <w:rsid w:val="00AC04BF"/>
    <w:rsid w:val="00B05E4E"/>
    <w:rsid w:val="00B4017B"/>
    <w:rsid w:val="00B93824"/>
    <w:rsid w:val="00B973B3"/>
    <w:rsid w:val="00C529FA"/>
    <w:rsid w:val="00CE0ABB"/>
    <w:rsid w:val="00CE7278"/>
    <w:rsid w:val="00DC5195"/>
    <w:rsid w:val="00DD0724"/>
    <w:rsid w:val="00E50248"/>
    <w:rsid w:val="00EA195C"/>
    <w:rsid w:val="00ED1501"/>
    <w:rsid w:val="00F70840"/>
    <w:rsid w:val="00F8155B"/>
    <w:rsid w:val="00F9310F"/>
    <w:rsid w:val="00F941AB"/>
    <w:rsid w:val="00F958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424B4"/>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B88A1D0CBABF41EDB246F8D8021F3EAE">
    <w:name w:val="B88A1D0CBABF41EDB246F8D8021F3EAE"/>
    <w:rsid w:val="00A4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18051-603A-4F93-B4F1-39F574EA5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10543</Words>
  <Characters>60100</Characters>
  <Application>Microsoft Office Word</Application>
  <DocSecurity>0</DocSecurity>
  <Lines>500</Lines>
  <Paragraphs>141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2023-04-19T13:46:00Z</dcterms:created>
  <dcterms:modified xsi:type="dcterms:W3CDTF">2023-04-19T13:46:00Z</dcterms:modified>
</cp:coreProperties>
</file>